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F7" w:rsidRDefault="001E60A2" w:rsidP="006344F7">
      <w:pPr>
        <w:pStyle w:val="Title"/>
      </w:pPr>
      <w:r>
        <w:fldChar w:fldCharType="begin"/>
      </w:r>
      <w:r>
        <w:instrText xml:space="preserve"> TITLE   \* MERGEFORMAT </w:instrText>
      </w:r>
      <w:r>
        <w:fldChar w:fldCharType="separate"/>
      </w:r>
      <w:r>
        <w:t>CPCCCM2010A Work safely at heights</w:t>
      </w:r>
      <w:r>
        <w:fldChar w:fldCharType="end"/>
      </w:r>
    </w:p>
    <w:p w:rsidR="006344F7" w:rsidRDefault="001E60A2" w:rsidP="006344F7">
      <w:pPr>
        <w:pStyle w:val="Version"/>
        <w:sectPr w:rsidR="006344F7" w:rsidSect="00385285">
          <w:headerReference w:type="even" r:id="rId8"/>
          <w:headerReference w:type="default" r:id="rId9"/>
          <w:footerReference w:type="even" r:id="rId10"/>
          <w:footerReference w:type="default" r:id="rId11"/>
          <w:headerReference w:type="first" r:id="rId12"/>
          <w:footerReference w:type="first" r:id="rId13"/>
          <w:pgSz w:w="11908" w:h="16833"/>
          <w:pgMar w:top="1700" w:right="1418" w:bottom="1700" w:left="1418" w:header="992" w:footer="992" w:gutter="0"/>
          <w:cols w:space="720"/>
          <w:noEndnote/>
          <w:docGrid w:linePitch="299"/>
        </w:sectPr>
      </w:pPr>
      <w:r>
        <w:fldChar w:fldCharType="begin"/>
      </w:r>
      <w:r>
        <w:instrText xml:space="preserve"> DOCPROPERTY  Keywords  \* MERGEFORMAT </w:instrText>
      </w:r>
      <w:r>
        <w:fldChar w:fldCharType="separate"/>
      </w:r>
      <w:r>
        <w:t>Release: 1</w:t>
      </w:r>
      <w:r>
        <w:fldChar w:fldCharType="end"/>
      </w:r>
    </w:p>
    <w:p w:rsidR="008A62AF" w:rsidRPr="00385285" w:rsidRDefault="001E60A2" w:rsidP="00385285">
      <w:pPr>
        <w:pStyle w:val="SuperHeading"/>
      </w:pPr>
      <w:bookmarkStart w:id="0" w:name="_GoBack"/>
      <w:r w:rsidRPr="00385285">
        <w:lastRenderedPageBreak/>
        <w:t>CPCCCM2010A Work safely at heights</w:t>
      </w:r>
    </w:p>
    <w:p w:rsidR="008A62AF" w:rsidRPr="00385285" w:rsidRDefault="001E60A2" w:rsidP="00385285">
      <w:pPr>
        <w:pStyle w:val="Heading1"/>
      </w:pPr>
      <w:bookmarkStart w:id="1" w:name="O_269537"/>
      <w:bookmarkEnd w:id="1"/>
      <w:bookmarkEnd w:id="0"/>
      <w:r w:rsidRPr="00385285">
        <w:t>Modification History</w:t>
      </w:r>
    </w:p>
    <w:p w:rsidR="008A62AF" w:rsidRPr="00385285" w:rsidRDefault="001E60A2" w:rsidP="00385285">
      <w:pPr>
        <w:pStyle w:val="BodyText"/>
      </w:pPr>
      <w:r w:rsidRPr="00385285">
        <w:t>Not Applicable</w:t>
      </w:r>
    </w:p>
    <w:p w:rsidR="008A62AF" w:rsidRPr="00385285" w:rsidRDefault="008A62AF" w:rsidP="00385285">
      <w:pPr>
        <w:pStyle w:val="AllowPageBreak"/>
      </w:pPr>
    </w:p>
    <w:p w:rsidR="008A62AF" w:rsidRPr="00385285" w:rsidRDefault="001E60A2" w:rsidP="00385285">
      <w:pPr>
        <w:pStyle w:val="Heading1"/>
      </w:pPr>
      <w:bookmarkStart w:id="2" w:name="O_197619"/>
      <w:bookmarkEnd w:id="2"/>
      <w:r w:rsidRPr="00385285">
        <w:t>Unit Descriptor</w:t>
      </w:r>
    </w:p>
    <w:tbl>
      <w:tblPr>
        <w:tblW w:w="0" w:type="auto"/>
        <w:tblLayout w:type="fixed"/>
        <w:tblCellMar>
          <w:left w:w="62" w:type="dxa"/>
          <w:right w:w="62" w:type="dxa"/>
        </w:tblCellMar>
        <w:tblLook w:val="0000" w:firstRow="0" w:lastRow="0" w:firstColumn="0" w:lastColumn="0" w:noHBand="0" w:noVBand="0"/>
      </w:tblPr>
      <w:tblGrid>
        <w:gridCol w:w="2609"/>
        <w:gridCol w:w="5913"/>
      </w:tblGrid>
      <w:tr w:rsidR="008A62AF" w:rsidTr="006344F7">
        <w:trPr>
          <w:tblHeader/>
        </w:trPr>
        <w:tc>
          <w:tcPr>
            <w:tcW w:w="2609"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Unit descriptor</w:t>
            </w:r>
          </w:p>
        </w:tc>
        <w:tc>
          <w:tcPr>
            <w:tcW w:w="5913"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This unit of competency specifies the outcomes required to work safely on construction sites where the work activity involves working above 1.5 metres from ground level and where fall pro</w:t>
            </w:r>
            <w:r w:rsidRPr="00385285">
              <w:t>tection measures are required.</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3" w:name="O_197623"/>
      <w:bookmarkEnd w:id="3"/>
      <w:r w:rsidRPr="00385285">
        <w:t>Application of the Unit</w:t>
      </w:r>
    </w:p>
    <w:tbl>
      <w:tblPr>
        <w:tblW w:w="0" w:type="auto"/>
        <w:tblLayout w:type="fixed"/>
        <w:tblCellMar>
          <w:left w:w="62" w:type="dxa"/>
          <w:right w:w="62" w:type="dxa"/>
        </w:tblCellMar>
        <w:tblLook w:val="0000" w:firstRow="0" w:lastRow="0" w:firstColumn="0" w:lastColumn="0" w:noHBand="0" w:noVBand="0"/>
      </w:tblPr>
      <w:tblGrid>
        <w:gridCol w:w="2667"/>
        <w:gridCol w:w="5855"/>
      </w:tblGrid>
      <w:tr w:rsidR="008A62AF" w:rsidTr="006344F7">
        <w:trPr>
          <w:tblHeader/>
        </w:trPr>
        <w:tc>
          <w:tcPr>
            <w:tcW w:w="2667"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Application of the unit</w:t>
            </w:r>
          </w:p>
        </w:tc>
        <w:tc>
          <w:tcPr>
            <w:tcW w:w="5855"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 xml:space="preserve">Construction work is undertaken on domestic and commercial work sites within new construction, renovation or refurbishment, and maintenance. </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4" w:name="O_277797"/>
      <w:bookmarkEnd w:id="4"/>
      <w:r w:rsidRPr="00385285">
        <w:t xml:space="preserve">Licensing/Regulatory </w:t>
      </w:r>
      <w:r w:rsidRPr="00385285">
        <w:t>Information</w:t>
      </w:r>
    </w:p>
    <w:p w:rsidR="008A62AF" w:rsidRPr="00385285" w:rsidRDefault="001E60A2" w:rsidP="00385285">
      <w:pPr>
        <w:pStyle w:val="BodyText"/>
      </w:pPr>
      <w:r w:rsidRPr="00385285">
        <w:t>Not Applicable</w:t>
      </w:r>
    </w:p>
    <w:p w:rsidR="008A62AF" w:rsidRPr="00385285" w:rsidRDefault="008A62AF" w:rsidP="00385285">
      <w:pPr>
        <w:pStyle w:val="AllowPageBreak"/>
      </w:pPr>
    </w:p>
    <w:p w:rsidR="008A62AF" w:rsidRPr="00385285" w:rsidRDefault="001E60A2" w:rsidP="00385285">
      <w:pPr>
        <w:pStyle w:val="Heading1"/>
      </w:pPr>
      <w:bookmarkStart w:id="5" w:name="O_197621"/>
      <w:bookmarkEnd w:id="5"/>
      <w:r w:rsidRPr="00385285">
        <w:t>Pre-Requisites</w:t>
      </w:r>
    </w:p>
    <w:tbl>
      <w:tblPr>
        <w:tblW w:w="0" w:type="auto"/>
        <w:tblLayout w:type="fixed"/>
        <w:tblCellMar>
          <w:left w:w="62" w:type="dxa"/>
          <w:right w:w="62" w:type="dxa"/>
        </w:tblCellMar>
        <w:tblLook w:val="0000" w:firstRow="0" w:lastRow="0" w:firstColumn="0" w:lastColumn="0" w:noHBand="0" w:noVBand="0"/>
      </w:tblPr>
      <w:tblGrid>
        <w:gridCol w:w="2628"/>
        <w:gridCol w:w="2527"/>
        <w:gridCol w:w="3367"/>
      </w:tblGrid>
      <w:tr w:rsidR="008A62AF" w:rsidTr="006344F7">
        <w:trPr>
          <w:tblHeader/>
        </w:trPr>
        <w:tc>
          <w:tcPr>
            <w:tcW w:w="2628"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Prerequisite units</w:t>
            </w:r>
          </w:p>
        </w:tc>
        <w:tc>
          <w:tcPr>
            <w:tcW w:w="5894" w:type="dxa"/>
            <w:gridSpan w:val="2"/>
            <w:tcBorders>
              <w:top w:val="nil"/>
              <w:left w:val="nil"/>
              <w:bottom w:val="nil"/>
              <w:right w:val="nil"/>
            </w:tcBorders>
            <w:tcMar>
              <w:top w:w="0" w:type="dxa"/>
              <w:left w:w="62" w:type="dxa"/>
              <w:bottom w:w="0" w:type="dxa"/>
              <w:right w:w="62" w:type="dxa"/>
            </w:tcMar>
          </w:tcPr>
          <w:p w:rsidR="008A62AF" w:rsidRDefault="008A62AF" w:rsidP="00385285">
            <w:pPr>
              <w:pStyle w:val="BodyText"/>
              <w:rPr>
                <w:lang w:val="en-NZ"/>
              </w:rPr>
            </w:pPr>
          </w:p>
        </w:tc>
      </w:tr>
      <w:tr w:rsidR="008A62AF" w:rsidTr="006344F7">
        <w:tc>
          <w:tcPr>
            <w:tcW w:w="2628" w:type="dxa"/>
            <w:tcBorders>
              <w:top w:val="nil"/>
              <w:left w:val="nil"/>
              <w:bottom w:val="nil"/>
              <w:right w:val="nil"/>
            </w:tcBorders>
            <w:tcMar>
              <w:top w:w="0" w:type="dxa"/>
              <w:left w:w="62" w:type="dxa"/>
              <w:bottom w:w="0" w:type="dxa"/>
              <w:right w:w="62" w:type="dxa"/>
            </w:tcMar>
          </w:tcPr>
          <w:p w:rsidR="008A62AF" w:rsidRDefault="008A62AF">
            <w:pPr>
              <w:pStyle w:val="BodyText"/>
              <w:keepNext w:val="0"/>
              <w:keepLines w:val="0"/>
              <w:contextualSpacing w:val="0"/>
              <w:rPr>
                <w:rFonts w:ascii="Tahoma" w:hAnsi="Tahoma"/>
                <w:color w:val="000000"/>
                <w:sz w:val="20"/>
                <w:lang w:val="en-NZ"/>
              </w:rPr>
            </w:pPr>
          </w:p>
        </w:tc>
        <w:tc>
          <w:tcPr>
            <w:tcW w:w="2527"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CPCCOHS2001A</w:t>
            </w:r>
          </w:p>
        </w:tc>
        <w:tc>
          <w:tcPr>
            <w:tcW w:w="3367"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Apply OHS requirements, policies and procedures in the construction industry</w:t>
            </w:r>
          </w:p>
        </w:tc>
      </w:tr>
      <w:tr w:rsidR="008A62AF" w:rsidTr="006344F7">
        <w:tc>
          <w:tcPr>
            <w:tcW w:w="2628" w:type="dxa"/>
            <w:tcBorders>
              <w:top w:val="nil"/>
              <w:left w:val="nil"/>
              <w:bottom w:val="nil"/>
              <w:right w:val="nil"/>
            </w:tcBorders>
            <w:tcMar>
              <w:top w:w="0" w:type="dxa"/>
              <w:left w:w="62" w:type="dxa"/>
              <w:bottom w:w="0" w:type="dxa"/>
              <w:right w:w="62" w:type="dxa"/>
            </w:tcMar>
          </w:tcPr>
          <w:p w:rsidR="008A62AF" w:rsidRDefault="008A62AF">
            <w:pPr>
              <w:pStyle w:val="BodyText"/>
              <w:keepNext w:val="0"/>
              <w:keepLines w:val="0"/>
              <w:contextualSpacing w:val="0"/>
              <w:rPr>
                <w:rFonts w:ascii="Tahoma" w:hAnsi="Tahoma"/>
                <w:color w:val="000000"/>
                <w:sz w:val="20"/>
                <w:lang w:val="en-NZ"/>
              </w:rPr>
            </w:pPr>
          </w:p>
        </w:tc>
        <w:tc>
          <w:tcPr>
            <w:tcW w:w="2527" w:type="dxa"/>
            <w:tcBorders>
              <w:top w:val="nil"/>
              <w:left w:val="nil"/>
              <w:bottom w:val="nil"/>
              <w:right w:val="nil"/>
            </w:tcBorders>
            <w:tcMar>
              <w:top w:w="0" w:type="dxa"/>
              <w:left w:w="62" w:type="dxa"/>
              <w:bottom w:w="0" w:type="dxa"/>
              <w:right w:w="62" w:type="dxa"/>
            </w:tcMar>
          </w:tcPr>
          <w:p w:rsidR="008A62AF" w:rsidRDefault="008A62AF">
            <w:pPr>
              <w:pStyle w:val="BodyText"/>
              <w:keepNext w:val="0"/>
              <w:keepLines w:val="0"/>
              <w:contextualSpacing w:val="0"/>
              <w:rPr>
                <w:rFonts w:ascii="Tahoma" w:hAnsi="Tahoma"/>
                <w:color w:val="000000"/>
                <w:sz w:val="20"/>
                <w:lang w:val="en-NZ"/>
              </w:rPr>
            </w:pPr>
          </w:p>
        </w:tc>
        <w:tc>
          <w:tcPr>
            <w:tcW w:w="3367" w:type="dxa"/>
            <w:tcBorders>
              <w:top w:val="nil"/>
              <w:left w:val="nil"/>
              <w:bottom w:val="nil"/>
              <w:right w:val="nil"/>
            </w:tcBorders>
            <w:tcMar>
              <w:top w:w="0" w:type="dxa"/>
              <w:left w:w="62" w:type="dxa"/>
              <w:bottom w:w="0" w:type="dxa"/>
              <w:right w:w="62" w:type="dxa"/>
            </w:tcMar>
          </w:tcPr>
          <w:p w:rsidR="008A62AF" w:rsidRPr="00385285" w:rsidRDefault="008A62AF" w:rsidP="00385285">
            <w:pPr>
              <w:pStyle w:val="BodyText"/>
            </w:pP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6" w:name="O_197620"/>
      <w:bookmarkEnd w:id="6"/>
      <w:r w:rsidRPr="00385285">
        <w:t>Employability Skills Information</w:t>
      </w:r>
    </w:p>
    <w:tbl>
      <w:tblPr>
        <w:tblW w:w="0" w:type="auto"/>
        <w:tblLayout w:type="fixed"/>
        <w:tblCellMar>
          <w:left w:w="62" w:type="dxa"/>
          <w:right w:w="62" w:type="dxa"/>
        </w:tblCellMar>
        <w:tblLook w:val="0000" w:firstRow="0" w:lastRow="0" w:firstColumn="0" w:lastColumn="0" w:noHBand="0" w:noVBand="0"/>
      </w:tblPr>
      <w:tblGrid>
        <w:gridCol w:w="2708"/>
        <w:gridCol w:w="5814"/>
      </w:tblGrid>
      <w:tr w:rsidR="008A62AF" w:rsidTr="006344F7">
        <w:trPr>
          <w:tblHeader/>
        </w:trPr>
        <w:tc>
          <w:tcPr>
            <w:tcW w:w="2708"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Employability skills</w:t>
            </w:r>
          </w:p>
        </w:tc>
        <w:tc>
          <w:tcPr>
            <w:tcW w:w="5814"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This unit contains employability skills.</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7" w:name="O_287583"/>
      <w:bookmarkEnd w:id="7"/>
      <w:r w:rsidRPr="00385285">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8A62AF" w:rsidTr="006344F7">
        <w:tc>
          <w:tcPr>
            <w:tcW w:w="2567" w:type="dxa"/>
            <w:tcBorders>
              <w:top w:val="single" w:sz="6" w:space="0" w:color="auto"/>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Elements describe the essential outcomes of a unit of competency.</w:t>
            </w:r>
          </w:p>
        </w:tc>
        <w:tc>
          <w:tcPr>
            <w:tcW w:w="5955" w:type="dxa"/>
            <w:tcBorders>
              <w:top w:val="single" w:sz="6" w:space="0" w:color="auto"/>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 xml:space="preserve">Performance criteria describe the performance needed to demonstrate achievement of the element. Where bold </w:t>
            </w:r>
            <w:proofErr w:type="spellStart"/>
            <w:r w:rsidRPr="00385285">
              <w:t>italicised</w:t>
            </w:r>
            <w:proofErr w:type="spellEnd"/>
            <w:r w:rsidRPr="00385285">
              <w:t xml:space="preserve"> text is used, further </w:t>
            </w:r>
            <w:r w:rsidRPr="00385285">
              <w:t>information is detailed in the required skills and knowledge section and the range statement. Assessment of performance is to be consistent with the evidence guide.</w:t>
            </w:r>
          </w:p>
        </w:tc>
      </w:tr>
    </w:tbl>
    <w:p w:rsidR="008A62AF" w:rsidRPr="00385285" w:rsidRDefault="008A62AF" w:rsidP="00385285">
      <w:pPr>
        <w:pStyle w:val="BodyText"/>
      </w:pPr>
    </w:p>
    <w:p w:rsidR="008A62AF" w:rsidRPr="00385285" w:rsidRDefault="008A62AF" w:rsidP="00385285">
      <w:pPr>
        <w:pStyle w:val="AllowPageBreak"/>
      </w:pPr>
    </w:p>
    <w:p w:rsidR="008A62AF" w:rsidRPr="00385285" w:rsidRDefault="001E60A2" w:rsidP="00385285">
      <w:pPr>
        <w:pStyle w:val="Heading1"/>
      </w:pPr>
      <w:bookmarkStart w:id="8" w:name="O_234250"/>
      <w:bookmarkEnd w:id="8"/>
      <w:r w:rsidRPr="00385285">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7"/>
        <w:gridCol w:w="5955"/>
      </w:tblGrid>
      <w:tr w:rsidR="008A62AF" w:rsidTr="006344F7">
        <w:trPr>
          <w:tblHeader/>
        </w:trPr>
        <w:tc>
          <w:tcPr>
            <w:tcW w:w="2567" w:type="dxa"/>
            <w:tcBorders>
              <w:top w:val="nil"/>
              <w:left w:val="nil"/>
              <w:bottom w:val="single" w:sz="6" w:space="0" w:color="auto"/>
              <w:right w:val="nil"/>
            </w:tcBorders>
            <w:tcMar>
              <w:top w:w="0" w:type="dxa"/>
              <w:left w:w="62" w:type="dxa"/>
              <w:bottom w:w="0" w:type="dxa"/>
              <w:right w:w="62" w:type="dxa"/>
            </w:tcMar>
          </w:tcPr>
          <w:p w:rsidR="008A62AF" w:rsidRPr="00385285" w:rsidRDefault="001E60A2" w:rsidP="00385285">
            <w:pPr>
              <w:pStyle w:val="BodyText"/>
            </w:pPr>
            <w:r w:rsidRPr="00385285">
              <w:rPr>
                <w:rStyle w:val="SpecialBold"/>
              </w:rPr>
              <w:t>ELEMENT</w:t>
            </w:r>
          </w:p>
        </w:tc>
        <w:tc>
          <w:tcPr>
            <w:tcW w:w="5955" w:type="dxa"/>
            <w:tcBorders>
              <w:top w:val="nil"/>
              <w:left w:val="nil"/>
              <w:bottom w:val="single" w:sz="6" w:space="0" w:color="auto"/>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PERFORMANCE CRITERIA</w:t>
            </w:r>
          </w:p>
        </w:tc>
      </w:tr>
      <w:tr w:rsidR="008A62AF" w:rsidTr="006344F7">
        <w:tc>
          <w:tcPr>
            <w:tcW w:w="2567" w:type="dxa"/>
            <w:tcBorders>
              <w:top w:val="nil"/>
              <w:left w:val="nil"/>
              <w:bottom w:val="nil"/>
              <w:right w:val="nil"/>
            </w:tcBorders>
            <w:tcMar>
              <w:top w:w="0" w:type="dxa"/>
              <w:left w:w="62" w:type="dxa"/>
              <w:bottom w:w="0" w:type="dxa"/>
              <w:right w:w="62" w:type="dxa"/>
            </w:tcMar>
          </w:tcPr>
          <w:p w:rsidR="008A62AF" w:rsidRDefault="001E60A2" w:rsidP="00385285">
            <w:pPr>
              <w:pStyle w:val="List"/>
              <w:rPr>
                <w:lang w:val="en-NZ"/>
              </w:rPr>
            </w:pPr>
            <w:r w:rsidRPr="00385285">
              <w:t>1.</w:t>
            </w:r>
            <w:r w:rsidRPr="00385285">
              <w:tab/>
              <w:t xml:space="preserve">Identify work area </w:t>
            </w:r>
            <w:r w:rsidRPr="00385285">
              <w:t>requirements.</w:t>
            </w:r>
          </w:p>
        </w:tc>
        <w:tc>
          <w:tcPr>
            <w:tcW w:w="5955"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2"/>
            </w:pPr>
            <w:r w:rsidRPr="00385285">
              <w:t>1.1.</w:t>
            </w:r>
            <w:r w:rsidRPr="00385285">
              <w:tab/>
              <w:t xml:space="preserve">Site of proposed </w:t>
            </w:r>
            <w:r w:rsidRPr="00385285">
              <w:rPr>
                <w:rStyle w:val="BoldandItalics"/>
              </w:rPr>
              <w:t>work at heights</w:t>
            </w:r>
            <w:r w:rsidRPr="00385285">
              <w:t xml:space="preserve"> is identified from relevant </w:t>
            </w:r>
            <w:r w:rsidRPr="00385285">
              <w:rPr>
                <w:rStyle w:val="BoldandItalics"/>
              </w:rPr>
              <w:t>information</w:t>
            </w:r>
            <w:r w:rsidRPr="00385285">
              <w:t xml:space="preserve">. </w:t>
            </w:r>
          </w:p>
          <w:p w:rsidR="008A62AF" w:rsidRPr="00385285" w:rsidRDefault="001E60A2" w:rsidP="00385285">
            <w:pPr>
              <w:pStyle w:val="List2"/>
            </w:pPr>
            <w:r w:rsidRPr="00385285">
              <w:t>1.2.</w:t>
            </w:r>
            <w:r w:rsidRPr="00385285">
              <w:tab/>
              <w:t>Method of accessing work area is identified.</w:t>
            </w:r>
          </w:p>
          <w:p w:rsidR="008A62AF" w:rsidRPr="00385285" w:rsidRDefault="001E60A2" w:rsidP="00385285">
            <w:pPr>
              <w:pStyle w:val="List2"/>
            </w:pPr>
            <w:r w:rsidRPr="00385285">
              <w:t>1.3.</w:t>
            </w:r>
            <w:r w:rsidRPr="00385285">
              <w:tab/>
              <w:t>Tasks to be completed are identified from work orders and supervisor instructions.</w:t>
            </w:r>
          </w:p>
          <w:p w:rsidR="008A62AF" w:rsidRPr="00385285" w:rsidRDefault="001E60A2" w:rsidP="00385285">
            <w:pPr>
              <w:pStyle w:val="List2"/>
            </w:pPr>
            <w:r w:rsidRPr="00385285">
              <w:t>1.4.</w:t>
            </w:r>
            <w:r w:rsidRPr="00385285">
              <w:tab/>
            </w:r>
            <w:r w:rsidRPr="00385285">
              <w:t xml:space="preserve">Fall protection equipment is identified if required by site job </w:t>
            </w:r>
            <w:r w:rsidRPr="00385285">
              <w:rPr>
                <w:rStyle w:val="BoldandItalics"/>
              </w:rPr>
              <w:t>safety</w:t>
            </w:r>
            <w:r w:rsidRPr="00385285">
              <w:t xml:space="preserve"> (</w:t>
            </w:r>
            <w:r w:rsidRPr="00385285">
              <w:rPr>
                <w:rStyle w:val="BoldandItalics"/>
              </w:rPr>
              <w:t>OHS</w:t>
            </w:r>
            <w:r w:rsidRPr="00385285">
              <w:t xml:space="preserve">) analysis or </w:t>
            </w:r>
            <w:r w:rsidRPr="00385285">
              <w:rPr>
                <w:rStyle w:val="BoldandItalics"/>
              </w:rPr>
              <w:t>statutory and regulatory</w:t>
            </w:r>
            <w:r w:rsidRPr="00385285">
              <w:t xml:space="preserve"> requirements. </w:t>
            </w:r>
          </w:p>
          <w:p w:rsidR="008A62AF" w:rsidRDefault="001E60A2" w:rsidP="00385285">
            <w:pPr>
              <w:pStyle w:val="List2"/>
              <w:rPr>
                <w:lang w:val="en-NZ"/>
              </w:rPr>
            </w:pPr>
            <w:r w:rsidRPr="00385285">
              <w:t>1.5.</w:t>
            </w:r>
            <w:r w:rsidRPr="00385285">
              <w:tab/>
              <w:t>Approved methods of moving tools and equipment to work area are identified to minimise potential of falling objects, remov</w:t>
            </w:r>
            <w:r w:rsidRPr="00385285">
              <w:t>al of scaffold components, inappropriate carrying of materials on ladders, and excessive bending or twisting in pass-up situations.</w:t>
            </w:r>
          </w:p>
        </w:tc>
      </w:tr>
      <w:tr w:rsidR="008A62AF" w:rsidTr="006344F7">
        <w:tc>
          <w:tcPr>
            <w:tcW w:w="2567" w:type="dxa"/>
            <w:tcBorders>
              <w:top w:val="nil"/>
              <w:left w:val="nil"/>
              <w:bottom w:val="nil"/>
              <w:right w:val="nil"/>
            </w:tcBorders>
            <w:tcMar>
              <w:top w:w="0" w:type="dxa"/>
              <w:left w:w="62" w:type="dxa"/>
              <w:bottom w:w="0" w:type="dxa"/>
              <w:right w:w="62" w:type="dxa"/>
            </w:tcMar>
          </w:tcPr>
          <w:p w:rsidR="008A62AF" w:rsidRDefault="001E60A2" w:rsidP="00385285">
            <w:pPr>
              <w:pStyle w:val="List"/>
              <w:rPr>
                <w:lang w:val="en-NZ"/>
              </w:rPr>
            </w:pPr>
            <w:r w:rsidRPr="00385285">
              <w:t>2.</w:t>
            </w:r>
            <w:r w:rsidRPr="00385285">
              <w:tab/>
              <w:t>Access work area.</w:t>
            </w:r>
          </w:p>
        </w:tc>
        <w:tc>
          <w:tcPr>
            <w:tcW w:w="5955"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2"/>
            </w:pPr>
            <w:r w:rsidRPr="00385285">
              <w:t>2.1.</w:t>
            </w:r>
            <w:r w:rsidRPr="00385285">
              <w:tab/>
              <w:t>Fall protection equipment where required is correctly fitted, adjusted and anchored.</w:t>
            </w:r>
          </w:p>
          <w:p w:rsidR="008A62AF" w:rsidRPr="00385285" w:rsidRDefault="001E60A2" w:rsidP="00385285">
            <w:pPr>
              <w:pStyle w:val="List2"/>
            </w:pPr>
            <w:r w:rsidRPr="00385285">
              <w:t>2.2.</w:t>
            </w:r>
            <w:r w:rsidRPr="00385285">
              <w:tab/>
              <w:t>Arrange</w:t>
            </w:r>
            <w:r w:rsidRPr="00385285">
              <w:t xml:space="preserve">ments are made to appropriately install required equipment taking account of all potential </w:t>
            </w:r>
            <w:r w:rsidRPr="00385285">
              <w:rPr>
                <w:rStyle w:val="BoldandItalics"/>
              </w:rPr>
              <w:t>hazards</w:t>
            </w:r>
            <w:r w:rsidRPr="00385285">
              <w:t xml:space="preserve">. </w:t>
            </w:r>
          </w:p>
          <w:p w:rsidR="008A62AF" w:rsidRPr="00385285" w:rsidRDefault="001E60A2" w:rsidP="00385285">
            <w:pPr>
              <w:pStyle w:val="List2"/>
            </w:pPr>
            <w:r w:rsidRPr="00385285">
              <w:t>2.3.</w:t>
            </w:r>
            <w:r w:rsidRPr="00385285">
              <w:tab/>
              <w:t xml:space="preserve">Appropriate methods are used to access work area for self, </w:t>
            </w:r>
            <w:r w:rsidRPr="00385285">
              <w:rPr>
                <w:rStyle w:val="BoldandItalics"/>
              </w:rPr>
              <w:t>tools and equipment</w:t>
            </w:r>
            <w:r w:rsidRPr="00385285">
              <w:t xml:space="preserve">, and </w:t>
            </w:r>
            <w:r w:rsidRPr="00385285">
              <w:rPr>
                <w:rStyle w:val="BoldandItalics"/>
              </w:rPr>
              <w:t>materials</w:t>
            </w:r>
            <w:r w:rsidRPr="00385285">
              <w:t xml:space="preserve">. </w:t>
            </w:r>
          </w:p>
          <w:p w:rsidR="008A62AF" w:rsidRDefault="001E60A2" w:rsidP="00385285">
            <w:pPr>
              <w:pStyle w:val="List2"/>
              <w:rPr>
                <w:lang w:val="en-NZ"/>
              </w:rPr>
            </w:pPr>
            <w:r w:rsidRPr="00385285">
              <w:t>2.4.</w:t>
            </w:r>
            <w:r w:rsidRPr="00385285">
              <w:tab/>
              <w:t>Tools and materials are placed to eliminate or at</w:t>
            </w:r>
            <w:r w:rsidRPr="00385285">
              <w:t xml:space="preserve"> least minimise the risk of items being knocked down.</w:t>
            </w:r>
          </w:p>
        </w:tc>
      </w:tr>
      <w:tr w:rsidR="008A62AF" w:rsidTr="006344F7">
        <w:tc>
          <w:tcPr>
            <w:tcW w:w="2567" w:type="dxa"/>
            <w:tcBorders>
              <w:top w:val="nil"/>
              <w:left w:val="nil"/>
              <w:bottom w:val="nil"/>
              <w:right w:val="nil"/>
            </w:tcBorders>
            <w:tcMar>
              <w:top w:w="0" w:type="dxa"/>
              <w:left w:w="62" w:type="dxa"/>
              <w:bottom w:w="0" w:type="dxa"/>
              <w:right w:w="62" w:type="dxa"/>
            </w:tcMar>
          </w:tcPr>
          <w:p w:rsidR="008A62AF" w:rsidRDefault="001E60A2" w:rsidP="00385285">
            <w:pPr>
              <w:pStyle w:val="List"/>
              <w:rPr>
                <w:lang w:val="en-NZ"/>
              </w:rPr>
            </w:pPr>
            <w:r w:rsidRPr="00385285">
              <w:t>3.</w:t>
            </w:r>
            <w:r w:rsidRPr="00385285">
              <w:tab/>
              <w:t>Conduct work tasks.</w:t>
            </w:r>
          </w:p>
        </w:tc>
        <w:tc>
          <w:tcPr>
            <w:tcW w:w="5955"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2"/>
            </w:pPr>
            <w:r w:rsidRPr="00385285">
              <w:t>3.1.</w:t>
            </w:r>
            <w:r w:rsidRPr="00385285">
              <w:tab/>
              <w:t>Work is conducted following workplace approved procedures.</w:t>
            </w:r>
          </w:p>
          <w:p w:rsidR="008A62AF" w:rsidRPr="00385285" w:rsidRDefault="001E60A2" w:rsidP="00385285">
            <w:pPr>
              <w:pStyle w:val="List2"/>
            </w:pPr>
            <w:r w:rsidRPr="00385285">
              <w:t>3.2.</w:t>
            </w:r>
            <w:r w:rsidRPr="00385285">
              <w:tab/>
              <w:t>Fall protection equipment is kept in place and adjusted appropriately to cater for movement during work.</w:t>
            </w:r>
          </w:p>
          <w:p w:rsidR="008A62AF" w:rsidRPr="00385285" w:rsidRDefault="001E60A2" w:rsidP="00385285">
            <w:pPr>
              <w:pStyle w:val="List2"/>
            </w:pPr>
            <w:r w:rsidRPr="00385285">
              <w:t>3.3.</w:t>
            </w:r>
            <w:r w:rsidRPr="00385285">
              <w:tab/>
              <w:t>Scaffold components and fall barriers are kept in place during work.</w:t>
            </w:r>
          </w:p>
          <w:p w:rsidR="008A62AF" w:rsidRPr="00385285" w:rsidRDefault="001E60A2" w:rsidP="00385285">
            <w:pPr>
              <w:pStyle w:val="List2"/>
            </w:pPr>
            <w:r w:rsidRPr="00385285">
              <w:t>3.4.</w:t>
            </w:r>
            <w:r w:rsidRPr="00385285">
              <w:tab/>
              <w:t xml:space="preserve">Egress from work area is completed following work site supervisor approved methods for self, tools, materials and </w:t>
            </w:r>
            <w:r w:rsidRPr="00385285">
              <w:rPr>
                <w:rStyle w:val="BoldandItalics"/>
              </w:rPr>
              <w:t>environmental requirements</w:t>
            </w:r>
            <w:r w:rsidRPr="00385285">
              <w:t>.</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9" w:name="O_258200"/>
      <w:bookmarkEnd w:id="9"/>
      <w:r w:rsidRPr="00385285">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8A62AF" w:rsidTr="006344F7">
        <w:trPr>
          <w:tblHeader/>
        </w:trPr>
        <w:tc>
          <w:tcPr>
            <w:tcW w:w="852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REQUIRED SKILLS AND KNOWLEDGE</w:t>
            </w:r>
          </w:p>
        </w:tc>
      </w:tr>
      <w:tr w:rsidR="008A62AF" w:rsidTr="006344F7">
        <w:tc>
          <w:tcPr>
            <w:tcW w:w="852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This section describes the skills and knowledge required for this unit.</w:t>
            </w:r>
          </w:p>
        </w:tc>
      </w:tr>
      <w:tr w:rsidR="008A62AF" w:rsidTr="006344F7">
        <w:tc>
          <w:tcPr>
            <w:tcW w:w="852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lastRenderedPageBreak/>
              <w:t>Required skills</w:t>
            </w:r>
          </w:p>
        </w:tc>
      </w:tr>
      <w:tr w:rsidR="008A62AF" w:rsidTr="006344F7">
        <w:tc>
          <w:tcPr>
            <w:tcW w:w="8522"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Required skills for this unit are:</w:t>
            </w:r>
          </w:p>
          <w:p w:rsidR="008A62AF" w:rsidRPr="00385285" w:rsidRDefault="001E60A2" w:rsidP="00385285">
            <w:pPr>
              <w:pStyle w:val="ListBullet"/>
            </w:pPr>
            <w:r w:rsidRPr="00385285">
              <w:t>communication skills to:</w:t>
            </w:r>
          </w:p>
          <w:p w:rsidR="008A62AF" w:rsidRPr="00385285" w:rsidRDefault="001E60A2" w:rsidP="00385285">
            <w:pPr>
              <w:pStyle w:val="ListBullet2"/>
            </w:pPr>
            <w:r w:rsidRPr="00385285">
              <w:t>enable clear and direct communication, using questioning to identify and co</w:t>
            </w:r>
            <w:r w:rsidRPr="00385285">
              <w:t>nfirm requirements, share information, listen and understand</w:t>
            </w:r>
          </w:p>
          <w:p w:rsidR="008A62AF" w:rsidRPr="00385285" w:rsidRDefault="001E60A2" w:rsidP="00385285">
            <w:pPr>
              <w:pStyle w:val="ListBullet2"/>
            </w:pPr>
            <w:r w:rsidRPr="00385285">
              <w:t>use language and concepts appropriate to cultural differences</w:t>
            </w:r>
          </w:p>
          <w:p w:rsidR="008A62AF" w:rsidRPr="00385285" w:rsidRDefault="001E60A2" w:rsidP="00385285">
            <w:pPr>
              <w:pStyle w:val="ListBullet2"/>
            </w:pPr>
            <w:r w:rsidRPr="00385285">
              <w:t>use and interpret non-verbal communication, such as hand signals</w:t>
            </w:r>
          </w:p>
          <w:p w:rsidR="008A62AF" w:rsidRPr="00385285" w:rsidRDefault="001E60A2" w:rsidP="00385285">
            <w:pPr>
              <w:pStyle w:val="ListBullet"/>
            </w:pPr>
            <w:r w:rsidRPr="00385285">
              <w:t xml:space="preserve">organisational skills, including the ability to plan and set out </w:t>
            </w:r>
            <w:r w:rsidRPr="00385285">
              <w:t>work</w:t>
            </w:r>
          </w:p>
          <w:p w:rsidR="008A62AF" w:rsidRPr="00385285" w:rsidRDefault="001E60A2" w:rsidP="00385285">
            <w:pPr>
              <w:pStyle w:val="ListBullet"/>
            </w:pPr>
            <w:r w:rsidRPr="00385285">
              <w:t>teamwork skills to work with others to action tasks and relate to people from a range of cultural and ethnic backgrounds and with varying physical and mental abilities</w:t>
            </w:r>
          </w:p>
          <w:p w:rsidR="008A62AF" w:rsidRPr="00385285" w:rsidRDefault="001E60A2" w:rsidP="00385285">
            <w:pPr>
              <w:pStyle w:val="ListBullet"/>
            </w:pPr>
            <w:r w:rsidRPr="00385285">
              <w:t>technological skills to:</w:t>
            </w:r>
          </w:p>
          <w:p w:rsidR="008A62AF" w:rsidRPr="00385285" w:rsidRDefault="001E60A2" w:rsidP="00385285">
            <w:pPr>
              <w:pStyle w:val="ListBullet2"/>
            </w:pPr>
            <w:r w:rsidRPr="00385285">
              <w:t>use a range of mobile technology, such as two-way radio an</w:t>
            </w:r>
            <w:r w:rsidRPr="00385285">
              <w:t>d mobile phones</w:t>
            </w:r>
          </w:p>
          <w:p w:rsidR="008A62AF" w:rsidRDefault="001E60A2" w:rsidP="00385285">
            <w:pPr>
              <w:pStyle w:val="ListBullet2"/>
              <w:rPr>
                <w:lang w:val="en-NZ"/>
              </w:rPr>
            </w:pPr>
            <w:proofErr w:type="gramStart"/>
            <w:r w:rsidRPr="00385285">
              <w:t>voice</w:t>
            </w:r>
            <w:proofErr w:type="gramEnd"/>
            <w:r w:rsidRPr="00385285">
              <w:t xml:space="preserve"> and hand signals to access and understand site-specific instructions.</w:t>
            </w:r>
          </w:p>
        </w:tc>
      </w:tr>
      <w:tr w:rsidR="008A62AF" w:rsidTr="006344F7">
        <w:tc>
          <w:tcPr>
            <w:tcW w:w="852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Required knowledge</w:t>
            </w:r>
          </w:p>
        </w:tc>
      </w:tr>
      <w:tr w:rsidR="008A62AF" w:rsidTr="006344F7">
        <w:tc>
          <w:tcPr>
            <w:tcW w:w="8522"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Required knowledge for this unit is:</w:t>
            </w:r>
          </w:p>
          <w:p w:rsidR="008A62AF" w:rsidRPr="00385285" w:rsidRDefault="001E60A2" w:rsidP="00385285">
            <w:pPr>
              <w:pStyle w:val="ListBullet"/>
            </w:pPr>
            <w:r w:rsidRPr="00385285">
              <w:t>construction terminology</w:t>
            </w:r>
          </w:p>
          <w:p w:rsidR="008A62AF" w:rsidRPr="00385285" w:rsidRDefault="001E60A2" w:rsidP="00385285">
            <w:pPr>
              <w:pStyle w:val="ListBullet"/>
            </w:pPr>
            <w:r w:rsidRPr="00385285">
              <w:t>job safety analysis (JSA) and safe work method statements</w:t>
            </w:r>
          </w:p>
          <w:p w:rsidR="008A62AF" w:rsidRPr="00385285" w:rsidRDefault="001E60A2" w:rsidP="00385285">
            <w:pPr>
              <w:pStyle w:val="ListBullet"/>
            </w:pPr>
            <w:r w:rsidRPr="00385285">
              <w:t>material safety data sh</w:t>
            </w:r>
            <w:r w:rsidRPr="00385285">
              <w:t>eets (MSDS)</w:t>
            </w:r>
          </w:p>
          <w:p w:rsidR="008A62AF" w:rsidRPr="00385285" w:rsidRDefault="001E60A2" w:rsidP="00385285">
            <w:pPr>
              <w:pStyle w:val="ListBullet"/>
            </w:pPr>
            <w:r w:rsidRPr="00385285">
              <w:t>quality requirements</w:t>
            </w:r>
          </w:p>
          <w:p w:rsidR="008A62AF" w:rsidRPr="00385285" w:rsidRDefault="001E60A2" w:rsidP="00385285">
            <w:pPr>
              <w:pStyle w:val="ListBullet"/>
            </w:pPr>
            <w:r w:rsidRPr="00385285">
              <w:t>types, characteristics, uses and limitation of plant, tools and equipment</w:t>
            </w:r>
          </w:p>
          <w:p w:rsidR="008A62AF" w:rsidRPr="00385285" w:rsidRDefault="001E60A2" w:rsidP="00385285">
            <w:pPr>
              <w:pStyle w:val="ListBullet"/>
            </w:pPr>
            <w:proofErr w:type="gramStart"/>
            <w:r w:rsidRPr="00385285">
              <w:t>workplace</w:t>
            </w:r>
            <w:proofErr w:type="gramEnd"/>
            <w:r w:rsidRPr="00385285">
              <w:t xml:space="preserve"> and equipment safety requirements.</w:t>
            </w:r>
          </w:p>
        </w:tc>
      </w:tr>
    </w:tbl>
    <w:p w:rsidR="006344F7" w:rsidRDefault="001E60A2" w:rsidP="00385285">
      <w:pPr>
        <w:pStyle w:val="BodyText"/>
      </w:pPr>
    </w:p>
    <w:p w:rsidR="006344F7" w:rsidRDefault="001E60A2" w:rsidP="00385285">
      <w:pPr>
        <w:pStyle w:val="BodyText"/>
      </w:pPr>
    </w:p>
    <w:p w:rsidR="008A62AF" w:rsidRPr="00385285" w:rsidRDefault="008A62AF" w:rsidP="00385285">
      <w:pPr>
        <w:pStyle w:val="AllowPageBreak"/>
      </w:pPr>
    </w:p>
    <w:p w:rsidR="008A62AF" w:rsidRPr="00385285" w:rsidRDefault="001E60A2" w:rsidP="00385285">
      <w:pPr>
        <w:pStyle w:val="Heading1"/>
      </w:pPr>
      <w:bookmarkStart w:id="10" w:name="O_242234"/>
      <w:bookmarkEnd w:id="10"/>
      <w:r w:rsidRPr="00385285">
        <w:lastRenderedPageBreak/>
        <w:t>Evidence Guide</w:t>
      </w:r>
    </w:p>
    <w:tbl>
      <w:tblPr>
        <w:tblW w:w="0" w:type="auto"/>
        <w:tblLayout w:type="fixed"/>
        <w:tblCellMar>
          <w:left w:w="62" w:type="dxa"/>
          <w:right w:w="62" w:type="dxa"/>
        </w:tblCellMar>
        <w:tblLook w:val="0000" w:firstRow="0" w:lastRow="0" w:firstColumn="0" w:lastColumn="0" w:noHBand="0" w:noVBand="0"/>
      </w:tblPr>
      <w:tblGrid>
        <w:gridCol w:w="3496"/>
        <w:gridCol w:w="5026"/>
      </w:tblGrid>
      <w:tr w:rsidR="008A62AF" w:rsidTr="006344F7">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EVIDENCE GUIDE</w:t>
            </w:r>
          </w:p>
        </w:tc>
      </w:tr>
      <w:tr w:rsidR="008A62AF" w:rsidTr="006344F7">
        <w:tc>
          <w:tcPr>
            <w:tcW w:w="8522" w:type="dxa"/>
            <w:gridSpan w:val="2"/>
            <w:tcBorders>
              <w:top w:val="single" w:sz="6" w:space="0" w:color="auto"/>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The evidence guide provides advice on assessment and must be read in conjunction with the performance criteria, required skills and knowledge, range statement and the Assessment Guidelines for the Training Package.</w:t>
            </w:r>
          </w:p>
        </w:tc>
      </w:tr>
      <w:tr w:rsidR="008A62AF" w:rsidTr="006344F7">
        <w:tc>
          <w:tcPr>
            <w:tcW w:w="3496"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Overview of assessment</w:t>
            </w:r>
          </w:p>
        </w:tc>
        <w:tc>
          <w:tcPr>
            <w:tcW w:w="5026"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This unit of comp</w:t>
            </w:r>
            <w:r w:rsidRPr="00385285">
              <w:t>etency could be assessed in the workplace or a close simulation of the workplace environment, provided that simulated or project-based assessment techniques fully replicate construction workplace conditions, materials, activities, responsibilities and proc</w:t>
            </w:r>
            <w:r w:rsidRPr="00385285">
              <w:t xml:space="preserve">edures. </w:t>
            </w:r>
          </w:p>
        </w:tc>
      </w:tr>
      <w:tr w:rsidR="008A62AF" w:rsidTr="006344F7">
        <w:tc>
          <w:tcPr>
            <w:tcW w:w="3496"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Critical aspects for assessment and evidence required to demonstrate competency in this unit</w:t>
            </w:r>
          </w:p>
        </w:tc>
        <w:tc>
          <w:tcPr>
            <w:tcW w:w="5026"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A person who demonstrates competency in this unit must be able to provide evidence of the ability to:</w:t>
            </w:r>
          </w:p>
          <w:p w:rsidR="008A62AF" w:rsidRPr="00385285" w:rsidRDefault="001E60A2" w:rsidP="00385285">
            <w:pPr>
              <w:pStyle w:val="ListBullet"/>
            </w:pPr>
            <w:r w:rsidRPr="00385285">
              <w:t xml:space="preserve">locate, interpret and apply relevant information, </w:t>
            </w:r>
            <w:r w:rsidRPr="00385285">
              <w:t>standards and specifications</w:t>
            </w:r>
          </w:p>
          <w:p w:rsidR="008A62AF" w:rsidRPr="00385285" w:rsidRDefault="001E60A2" w:rsidP="00385285">
            <w:pPr>
              <w:pStyle w:val="ListBullet"/>
            </w:pPr>
            <w:r w:rsidRPr="00385285">
              <w:t>comply with site safety plan, OHS regulations and state and territory legislation applicable to workplace operations</w:t>
            </w:r>
          </w:p>
          <w:p w:rsidR="008A62AF" w:rsidRPr="00385285" w:rsidRDefault="001E60A2" w:rsidP="00385285">
            <w:pPr>
              <w:pStyle w:val="ListBullet"/>
            </w:pPr>
            <w:r w:rsidRPr="00385285">
              <w:t>safely and effectively use tools, plant and equipment</w:t>
            </w:r>
          </w:p>
          <w:p w:rsidR="008A62AF" w:rsidRPr="00385285" w:rsidRDefault="001E60A2" w:rsidP="00385285">
            <w:pPr>
              <w:pStyle w:val="ListBullet"/>
            </w:pPr>
            <w:r w:rsidRPr="00385285">
              <w:t>communicate and work effectively and safely with others</w:t>
            </w:r>
          </w:p>
          <w:p w:rsidR="008A62AF" w:rsidRPr="00385285" w:rsidRDefault="001E60A2" w:rsidP="00385285">
            <w:pPr>
              <w:pStyle w:val="ListBullet"/>
            </w:pPr>
            <w:r w:rsidRPr="00385285">
              <w:t>select and use appropriate height access and fall protection equipment and work methods, including inspecting fall protection equipment, scaffold and fall barriers for faults</w:t>
            </w:r>
          </w:p>
          <w:p w:rsidR="008A62AF" w:rsidRPr="00385285" w:rsidRDefault="001E60A2" w:rsidP="00385285">
            <w:pPr>
              <w:pStyle w:val="ListBullet"/>
            </w:pPr>
            <w:r w:rsidRPr="00385285">
              <w:t>apply knowledge of industry products to identify:</w:t>
            </w:r>
          </w:p>
          <w:p w:rsidR="008A62AF" w:rsidRPr="00385285" w:rsidRDefault="001E60A2" w:rsidP="00385285">
            <w:pPr>
              <w:pStyle w:val="ListBullet2"/>
            </w:pPr>
            <w:r w:rsidRPr="00385285">
              <w:t>manual handling risks</w:t>
            </w:r>
          </w:p>
          <w:p w:rsidR="008A62AF" w:rsidRPr="00385285" w:rsidRDefault="001E60A2" w:rsidP="00385285">
            <w:pPr>
              <w:pStyle w:val="ListBullet2"/>
            </w:pPr>
            <w:r w:rsidRPr="00385285">
              <w:t xml:space="preserve">types of </w:t>
            </w:r>
            <w:r w:rsidRPr="00385285">
              <w:t>lifting and support structures approved for use</w:t>
            </w:r>
          </w:p>
          <w:p w:rsidR="008A62AF" w:rsidRPr="00385285" w:rsidRDefault="001E60A2" w:rsidP="00385285">
            <w:pPr>
              <w:pStyle w:val="ListBullet"/>
            </w:pPr>
            <w:r w:rsidRPr="00385285">
              <w:t>modify work activities to cater for variations in work site procedures, contexts and environment and use appropriate behaviour for safe work at heights</w:t>
            </w:r>
          </w:p>
          <w:p w:rsidR="008A62AF" w:rsidRDefault="001E60A2" w:rsidP="00385285">
            <w:pPr>
              <w:pStyle w:val="ListBullet"/>
              <w:rPr>
                <w:lang w:val="en-NZ"/>
              </w:rPr>
            </w:pPr>
            <w:proofErr w:type="gramStart"/>
            <w:r w:rsidRPr="00385285">
              <w:t>use</w:t>
            </w:r>
            <w:proofErr w:type="gramEnd"/>
            <w:r w:rsidRPr="00385285">
              <w:t xml:space="preserve"> safe handling requirements, based on information pro</w:t>
            </w:r>
            <w:r w:rsidRPr="00385285">
              <w:t>vided, for equipment, products and materials.</w:t>
            </w:r>
          </w:p>
        </w:tc>
      </w:tr>
      <w:tr w:rsidR="008A62AF" w:rsidTr="006344F7">
        <w:tc>
          <w:tcPr>
            <w:tcW w:w="3496"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Context of and specific resources for assessment</w:t>
            </w:r>
          </w:p>
        </w:tc>
        <w:tc>
          <w:tcPr>
            <w:tcW w:w="5026"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 xml:space="preserve">This competency is to be assessed using standard and </w:t>
            </w:r>
            <w:proofErr w:type="spellStart"/>
            <w:r w:rsidRPr="00385285">
              <w:t>authorised</w:t>
            </w:r>
            <w:proofErr w:type="spellEnd"/>
            <w:r w:rsidRPr="00385285">
              <w:t xml:space="preserve"> work practices, safety requirements </w:t>
            </w:r>
            <w:r w:rsidRPr="00385285">
              <w:lastRenderedPageBreak/>
              <w:t>and environmental constraints.</w:t>
            </w:r>
          </w:p>
          <w:p w:rsidR="008A62AF" w:rsidRPr="00385285" w:rsidRDefault="001E60A2" w:rsidP="00385285">
            <w:pPr>
              <w:pStyle w:val="BodyText"/>
            </w:pPr>
            <w:r w:rsidRPr="00385285">
              <w:t>Assessment of essential under</w:t>
            </w:r>
            <w:r w:rsidRPr="00385285">
              <w:t>pinning knowledge will usually be conducted in an off-site context.</w:t>
            </w:r>
          </w:p>
          <w:p w:rsidR="008A62AF" w:rsidRPr="00385285" w:rsidRDefault="001E60A2" w:rsidP="00385285">
            <w:pPr>
              <w:pStyle w:val="BodyText"/>
            </w:pPr>
            <w:r w:rsidRPr="00385285">
              <w:t>Assessment is to comply with relevant regulatory or Australian standards' requirements.</w:t>
            </w:r>
          </w:p>
          <w:p w:rsidR="008A62AF" w:rsidRPr="00385285" w:rsidRDefault="001E60A2" w:rsidP="00385285">
            <w:pPr>
              <w:pStyle w:val="BodyText"/>
            </w:pPr>
            <w:r w:rsidRPr="00385285">
              <w:t>Resource implications for assessment include:</w:t>
            </w:r>
          </w:p>
          <w:p w:rsidR="008A62AF" w:rsidRPr="00385285" w:rsidRDefault="001E60A2" w:rsidP="00385285">
            <w:pPr>
              <w:pStyle w:val="ListBullet"/>
            </w:pPr>
            <w:r w:rsidRPr="00385285">
              <w:t>an induction procedure and requirement</w:t>
            </w:r>
          </w:p>
          <w:p w:rsidR="008A62AF" w:rsidRPr="00385285" w:rsidRDefault="001E60A2" w:rsidP="00385285">
            <w:pPr>
              <w:pStyle w:val="ListBullet"/>
            </w:pPr>
            <w:r w:rsidRPr="00385285">
              <w:t>realistic tasks</w:t>
            </w:r>
            <w:r w:rsidRPr="00385285">
              <w:t xml:space="preserve"> or simulated tasks covering the mandatory task requirements</w:t>
            </w:r>
          </w:p>
          <w:p w:rsidR="008A62AF" w:rsidRPr="00385285" w:rsidRDefault="001E60A2" w:rsidP="00385285">
            <w:pPr>
              <w:pStyle w:val="ListBullet"/>
            </w:pPr>
            <w:r w:rsidRPr="00385285">
              <w:t>relevant specifications and work instructions</w:t>
            </w:r>
          </w:p>
          <w:p w:rsidR="008A62AF" w:rsidRPr="00385285" w:rsidRDefault="001E60A2" w:rsidP="00385285">
            <w:pPr>
              <w:pStyle w:val="ListBullet"/>
            </w:pPr>
            <w:r w:rsidRPr="00385285">
              <w:t>tools and equipment appropriate to applying safe work practices</w:t>
            </w:r>
          </w:p>
          <w:p w:rsidR="008A62AF" w:rsidRPr="00385285" w:rsidRDefault="001E60A2" w:rsidP="00385285">
            <w:pPr>
              <w:pStyle w:val="ListBullet"/>
            </w:pPr>
            <w:r w:rsidRPr="00385285">
              <w:t>support materials appropriate to activity</w:t>
            </w:r>
          </w:p>
          <w:p w:rsidR="008A62AF" w:rsidRPr="00385285" w:rsidRDefault="001E60A2" w:rsidP="00385285">
            <w:pPr>
              <w:pStyle w:val="ListBullet"/>
            </w:pPr>
            <w:r w:rsidRPr="00385285">
              <w:t xml:space="preserve">workplace instructions relating to safe </w:t>
            </w:r>
            <w:r w:rsidRPr="00385285">
              <w:t>work practices and addressing hazards and emergencies</w:t>
            </w:r>
          </w:p>
          <w:p w:rsidR="008A62AF" w:rsidRPr="00385285" w:rsidRDefault="001E60A2" w:rsidP="00385285">
            <w:pPr>
              <w:pStyle w:val="ListBullet"/>
            </w:pPr>
            <w:r w:rsidRPr="00385285">
              <w:t>material safety data sheets</w:t>
            </w:r>
          </w:p>
          <w:p w:rsidR="008A62AF" w:rsidRPr="00385285" w:rsidRDefault="001E60A2" w:rsidP="00385285">
            <w:pPr>
              <w:pStyle w:val="ListBullet"/>
            </w:pPr>
            <w:proofErr w:type="gramStart"/>
            <w:r w:rsidRPr="00385285">
              <w:t>research</w:t>
            </w:r>
            <w:proofErr w:type="gramEnd"/>
            <w:r w:rsidRPr="00385285">
              <w:t xml:space="preserve"> resources, including industry related systems information.</w:t>
            </w:r>
          </w:p>
          <w:p w:rsidR="008A62AF" w:rsidRDefault="001E60A2" w:rsidP="00385285">
            <w:pPr>
              <w:pStyle w:val="BodyText"/>
              <w:rPr>
                <w:lang w:val="en-NZ"/>
              </w:rPr>
            </w:pPr>
            <w:r w:rsidRPr="00385285">
              <w:t>Reasonable adjustments for people with disabilities must be made to assessment processes where required. T</w:t>
            </w:r>
            <w:r w:rsidRPr="00385285">
              <w:t xml:space="preserve">his could include access to modified equipment and other physical resources, and the provision of appropriate assessment support. </w:t>
            </w:r>
          </w:p>
        </w:tc>
      </w:tr>
      <w:tr w:rsidR="008A62AF" w:rsidTr="006344F7">
        <w:tc>
          <w:tcPr>
            <w:tcW w:w="3496"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lastRenderedPageBreak/>
              <w:t>Method of assessment</w:t>
            </w:r>
          </w:p>
        </w:tc>
        <w:tc>
          <w:tcPr>
            <w:tcW w:w="5026"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Assessment methods must:</w:t>
            </w:r>
          </w:p>
          <w:p w:rsidR="008A62AF" w:rsidRPr="00385285" w:rsidRDefault="001E60A2" w:rsidP="00385285">
            <w:pPr>
              <w:pStyle w:val="ListBullet"/>
            </w:pPr>
            <w:r w:rsidRPr="00385285">
              <w:t>satisfy the endorsed Assessment Guidelines of the Construction, Plumbing and S</w:t>
            </w:r>
            <w:r w:rsidRPr="00385285">
              <w:t>ervices Training Package</w:t>
            </w:r>
          </w:p>
          <w:p w:rsidR="008A62AF" w:rsidRPr="00385285" w:rsidRDefault="001E60A2" w:rsidP="00385285">
            <w:pPr>
              <w:pStyle w:val="ListBullet"/>
            </w:pPr>
            <w:r w:rsidRPr="00385285">
              <w:t>include direct observation of tasks in real or simulated work conditions, with questioning to confirm the ability to consistently identify and correctly interpret the essential underpinning knowledge required for practical applicat</w:t>
            </w:r>
            <w:r w:rsidRPr="00385285">
              <w:t>ion</w:t>
            </w:r>
          </w:p>
          <w:p w:rsidR="008A62AF" w:rsidRPr="00385285" w:rsidRDefault="001E60A2" w:rsidP="00385285">
            <w:pPr>
              <w:pStyle w:val="ListBullet"/>
            </w:pPr>
            <w:r w:rsidRPr="00385285">
              <w:t>reinforce the integration of employability skills with workplace tasks and job roles</w:t>
            </w:r>
          </w:p>
          <w:p w:rsidR="008A62AF" w:rsidRPr="00385285" w:rsidRDefault="001E60A2" w:rsidP="00385285">
            <w:pPr>
              <w:pStyle w:val="ListBullet"/>
            </w:pPr>
            <w:proofErr w:type="gramStart"/>
            <w:r w:rsidRPr="00385285">
              <w:t>confirm</w:t>
            </w:r>
            <w:proofErr w:type="gramEnd"/>
            <w:r w:rsidRPr="00385285">
              <w:t xml:space="preserve"> that competency is verified and able to be transferred to other circumstances and environments.</w:t>
            </w:r>
          </w:p>
          <w:p w:rsidR="008A62AF" w:rsidRPr="00385285" w:rsidRDefault="001E60A2" w:rsidP="00385285">
            <w:pPr>
              <w:pStyle w:val="BodyText"/>
            </w:pPr>
            <w:r w:rsidRPr="00385285">
              <w:t>Validity and sufficiency of evidence requires that:</w:t>
            </w:r>
          </w:p>
          <w:p w:rsidR="008A62AF" w:rsidRPr="00385285" w:rsidRDefault="001E60A2" w:rsidP="00385285">
            <w:pPr>
              <w:pStyle w:val="ListBullet"/>
            </w:pPr>
            <w:r w:rsidRPr="00385285">
              <w:lastRenderedPageBreak/>
              <w:t xml:space="preserve">competency </w:t>
            </w:r>
            <w:r w:rsidRPr="00385285">
              <w:t>will need to be demonstrated over a period of time reflecting the scope of the role and the practical requirements of the workplace</w:t>
            </w:r>
          </w:p>
          <w:p w:rsidR="008A62AF" w:rsidRPr="00385285" w:rsidRDefault="001E60A2" w:rsidP="00385285">
            <w:pPr>
              <w:pStyle w:val="ListBullet"/>
            </w:pPr>
            <w:r w:rsidRPr="00385285">
              <w:t xml:space="preserve">where the assessment is part of a structured learning experience the evidence collected must relate to a number of </w:t>
            </w:r>
            <w:r w:rsidRPr="00385285">
              <w:t>performances assessed at different points in time and separated by further learning and practice, with a decision on competency only taken at the point when the assessor has complete confidence in the person's demonstrated ability and applied knowledge</w:t>
            </w:r>
          </w:p>
          <w:p w:rsidR="008A62AF" w:rsidRPr="00385285" w:rsidRDefault="001E60A2" w:rsidP="00385285">
            <w:pPr>
              <w:pStyle w:val="ListBullet"/>
            </w:pPr>
            <w:proofErr w:type="gramStart"/>
            <w:r w:rsidRPr="00385285">
              <w:t>all</w:t>
            </w:r>
            <w:proofErr w:type="gramEnd"/>
            <w:r w:rsidRPr="00385285">
              <w:t xml:space="preserve"> assessment that is part of a structured learning experience must include a combination of direct, indirect and supplementary evidence.</w:t>
            </w:r>
          </w:p>
          <w:p w:rsidR="008A62AF" w:rsidRPr="00385285" w:rsidRDefault="001E60A2" w:rsidP="00385285">
            <w:pPr>
              <w:pStyle w:val="BodyText"/>
            </w:pPr>
            <w:r w:rsidRPr="00385285">
              <w:t xml:space="preserve">Assessment processes and techniques should as far as is practical take into account the language, literacy and numeracy </w:t>
            </w:r>
            <w:r w:rsidRPr="00385285">
              <w:t>capacity of the candidate in relation to the competency being assessed.</w:t>
            </w:r>
          </w:p>
          <w:p w:rsidR="008A62AF" w:rsidRPr="00385285" w:rsidRDefault="001E60A2" w:rsidP="00385285">
            <w:pPr>
              <w:pStyle w:val="BodyText"/>
            </w:pPr>
            <w:r w:rsidRPr="00385285">
              <w:t>Supplementary evidence of competency may be obtained from relevant authenticated documentation from third parties, such as existing supervisors, team leaders or specialist training sta</w:t>
            </w:r>
            <w:r w:rsidRPr="00385285">
              <w:t xml:space="preserve">ff. </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11" w:name="O_250217"/>
      <w:bookmarkEnd w:id="11"/>
      <w:r w:rsidRPr="00385285">
        <w:t>Range Statement</w:t>
      </w:r>
    </w:p>
    <w:tbl>
      <w:tblPr>
        <w:tblW w:w="0" w:type="auto"/>
        <w:tblLayout w:type="fixed"/>
        <w:tblCellMar>
          <w:left w:w="62" w:type="dxa"/>
          <w:right w:w="62" w:type="dxa"/>
        </w:tblCellMar>
        <w:tblLook w:val="0000" w:firstRow="0" w:lastRow="0" w:firstColumn="0" w:lastColumn="0" w:noHBand="0" w:noVBand="0"/>
      </w:tblPr>
      <w:tblGrid>
        <w:gridCol w:w="3465"/>
        <w:gridCol w:w="5057"/>
      </w:tblGrid>
      <w:tr w:rsidR="008A62AF" w:rsidTr="006344F7">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RANGE STATEMENT</w:t>
            </w:r>
          </w:p>
        </w:tc>
      </w:tr>
      <w:tr w:rsidR="008A62AF" w:rsidTr="006344F7">
        <w:tc>
          <w:tcPr>
            <w:tcW w:w="8522" w:type="dxa"/>
            <w:gridSpan w:val="2"/>
            <w:tcBorders>
              <w:top w:val="single" w:sz="6" w:space="0" w:color="auto"/>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 xml:space="preserve">The range statement relates to the unit of competency as a whole. It allows for different work environments and situations that may affect performance. Bold </w:t>
            </w:r>
            <w:proofErr w:type="spellStart"/>
            <w:r w:rsidRPr="00385285">
              <w:t>italicised</w:t>
            </w:r>
            <w:proofErr w:type="spellEnd"/>
            <w:r w:rsidRPr="00385285">
              <w:t xml:space="preserve"> wording, if used in the performance criteria, i</w:t>
            </w:r>
            <w:r w:rsidRPr="00385285">
              <w:t>s detailed below. Essential operating conditions that may be present with training and assessment (depending on the work situation, needs of the candidate, accessibility of the item, and local industry and regional contexts) may also be included.</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t xml:space="preserve">Work at </w:t>
            </w:r>
            <w:r w:rsidRPr="00385285">
              <w:rPr>
                <w:rStyle w:val="BoldandItalics"/>
              </w:rPr>
              <w:t>heights</w:t>
            </w:r>
            <w:r w:rsidRPr="00385285">
              <w:t xml:space="preserve"> includes:</w:t>
            </w:r>
          </w:p>
        </w:tc>
        <w:tc>
          <w:tcPr>
            <w:tcW w:w="5057"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Bullet"/>
            </w:pPr>
            <w:r w:rsidRPr="00385285">
              <w:t>assessment of conditions and hazards</w:t>
            </w:r>
          </w:p>
          <w:p w:rsidR="008A62AF" w:rsidRPr="00385285" w:rsidRDefault="001E60A2" w:rsidP="00385285">
            <w:pPr>
              <w:pStyle w:val="ListBullet"/>
            </w:pPr>
            <w:r w:rsidRPr="00385285">
              <w:t>determination of work requirements</w:t>
            </w:r>
          </w:p>
          <w:p w:rsidR="008A62AF" w:rsidRPr="00385285" w:rsidRDefault="001E60A2" w:rsidP="00385285">
            <w:pPr>
              <w:pStyle w:val="ListBullet"/>
            </w:pPr>
            <w:r w:rsidRPr="00385285">
              <w:t>identification of equipment defects</w:t>
            </w:r>
          </w:p>
          <w:p w:rsidR="008A62AF" w:rsidRDefault="001E60A2" w:rsidP="00385285">
            <w:pPr>
              <w:pStyle w:val="ListBullet"/>
              <w:rPr>
                <w:lang w:val="en-NZ"/>
              </w:rPr>
            </w:pPr>
            <w:proofErr w:type="gramStart"/>
            <w:r w:rsidRPr="00385285">
              <w:t>inspection</w:t>
            </w:r>
            <w:proofErr w:type="gramEnd"/>
            <w:r w:rsidRPr="00385285">
              <w:t xml:space="preserve"> of work sites.</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lastRenderedPageBreak/>
              <w:t>Information</w:t>
            </w:r>
            <w:r w:rsidRPr="00385285">
              <w:t xml:space="preserve"> includes:</w:t>
            </w:r>
          </w:p>
        </w:tc>
        <w:tc>
          <w:tcPr>
            <w:tcW w:w="5057"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Bullet"/>
            </w:pPr>
            <w:r w:rsidRPr="00385285">
              <w:t>diagrams or sketches</w:t>
            </w:r>
          </w:p>
          <w:p w:rsidR="008A62AF" w:rsidRPr="00385285" w:rsidRDefault="001E60A2" w:rsidP="00385285">
            <w:pPr>
              <w:pStyle w:val="ListBullet"/>
            </w:pPr>
            <w:r w:rsidRPr="00385285">
              <w:t xml:space="preserve">instructions issued by </w:t>
            </w:r>
            <w:proofErr w:type="spellStart"/>
            <w:r w:rsidRPr="00385285">
              <w:t>authorised</w:t>
            </w:r>
            <w:proofErr w:type="spellEnd"/>
            <w:r w:rsidRPr="00385285">
              <w:t xml:space="preserve"> organisational or external</w:t>
            </w:r>
            <w:r w:rsidRPr="00385285">
              <w:t xml:space="preserve"> personnel</w:t>
            </w:r>
          </w:p>
          <w:p w:rsidR="008A62AF" w:rsidRPr="00385285" w:rsidRDefault="001E60A2" w:rsidP="00385285">
            <w:pPr>
              <w:pStyle w:val="ListBullet"/>
            </w:pPr>
            <w:r w:rsidRPr="00385285">
              <w:t>material safety data sheets (MSDS)</w:t>
            </w:r>
          </w:p>
          <w:p w:rsidR="008A62AF" w:rsidRPr="00385285" w:rsidRDefault="001E60A2" w:rsidP="00385285">
            <w:pPr>
              <w:pStyle w:val="ListBullet"/>
            </w:pPr>
            <w:r w:rsidRPr="00385285">
              <w:t>memos</w:t>
            </w:r>
          </w:p>
          <w:p w:rsidR="008A62AF" w:rsidRPr="00385285" w:rsidRDefault="001E60A2" w:rsidP="00385285">
            <w:pPr>
              <w:pStyle w:val="ListBullet"/>
            </w:pPr>
            <w:r w:rsidRPr="00385285">
              <w:t>signage</w:t>
            </w:r>
          </w:p>
          <w:p w:rsidR="008A62AF" w:rsidRPr="00385285" w:rsidRDefault="001E60A2" w:rsidP="00385285">
            <w:pPr>
              <w:pStyle w:val="ListBullet"/>
            </w:pPr>
            <w:r w:rsidRPr="00385285">
              <w:t>verbal or written and graphical instructions</w:t>
            </w:r>
          </w:p>
          <w:p w:rsidR="008A62AF" w:rsidRPr="00385285" w:rsidRDefault="001E60A2" w:rsidP="00385285">
            <w:pPr>
              <w:pStyle w:val="ListBullet"/>
            </w:pPr>
            <w:r w:rsidRPr="00385285">
              <w:t>work bulletins</w:t>
            </w:r>
          </w:p>
          <w:p w:rsidR="008A62AF" w:rsidRDefault="001E60A2" w:rsidP="00385285">
            <w:pPr>
              <w:pStyle w:val="ListBullet"/>
              <w:rPr>
                <w:lang w:val="en-NZ"/>
              </w:rPr>
            </w:pPr>
            <w:proofErr w:type="gramStart"/>
            <w:r w:rsidRPr="00385285">
              <w:t>work</w:t>
            </w:r>
            <w:proofErr w:type="gramEnd"/>
            <w:r w:rsidRPr="00385285">
              <w:t xml:space="preserve"> schedules, plans and specifications.</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t>Safety</w:t>
            </w:r>
            <w:r w:rsidRPr="00385285">
              <w:t xml:space="preserve"> (</w:t>
            </w:r>
            <w:r w:rsidRPr="00385285">
              <w:rPr>
                <w:rStyle w:val="BoldandItalics"/>
              </w:rPr>
              <w:t>OHS</w:t>
            </w:r>
            <w:r w:rsidRPr="00385285">
              <w:t xml:space="preserve">) is to be in accordance with state or territory legislation and regulations, </w:t>
            </w:r>
            <w:r w:rsidRPr="00385285">
              <w:t>organisational safety policies and procedures, and project safety plan and may include:</w:t>
            </w:r>
          </w:p>
        </w:tc>
        <w:tc>
          <w:tcPr>
            <w:tcW w:w="5057"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Bullet"/>
            </w:pPr>
            <w:r w:rsidRPr="00385285">
              <w:t>emergency procedures, including extinguishing fires, organisational first aid requirements and evacuation</w:t>
            </w:r>
          </w:p>
          <w:p w:rsidR="008A62AF" w:rsidRPr="00385285" w:rsidRDefault="001E60A2" w:rsidP="00385285">
            <w:pPr>
              <w:pStyle w:val="ListBullet"/>
            </w:pPr>
            <w:r w:rsidRPr="00385285">
              <w:t>handling of materials</w:t>
            </w:r>
          </w:p>
          <w:p w:rsidR="008A62AF" w:rsidRPr="00385285" w:rsidRDefault="001E60A2" w:rsidP="00385285">
            <w:pPr>
              <w:pStyle w:val="ListBullet"/>
            </w:pPr>
            <w:r w:rsidRPr="00385285">
              <w:t>hazard control</w:t>
            </w:r>
          </w:p>
          <w:p w:rsidR="008A62AF" w:rsidRPr="00385285" w:rsidRDefault="001E60A2" w:rsidP="00385285">
            <w:pPr>
              <w:pStyle w:val="ListBullet"/>
            </w:pPr>
            <w:r w:rsidRPr="00385285">
              <w:t xml:space="preserve">hazardous materials and </w:t>
            </w:r>
            <w:r w:rsidRPr="00385285">
              <w:t>substances</w:t>
            </w:r>
          </w:p>
          <w:p w:rsidR="008A62AF" w:rsidRPr="00385285" w:rsidRDefault="001E60A2" w:rsidP="00385285">
            <w:pPr>
              <w:pStyle w:val="ListBullet"/>
            </w:pPr>
            <w:r w:rsidRPr="00385285">
              <w:t>safe operating procedures, including the conduct of operational risk assessment and treatments associated with:</w:t>
            </w:r>
          </w:p>
          <w:p w:rsidR="008A62AF" w:rsidRPr="00385285" w:rsidRDefault="001E60A2" w:rsidP="00385285">
            <w:pPr>
              <w:pStyle w:val="ListBullet2"/>
            </w:pPr>
            <w:r w:rsidRPr="00385285">
              <w:t>earth leakage boxes</w:t>
            </w:r>
          </w:p>
          <w:p w:rsidR="008A62AF" w:rsidRPr="00385285" w:rsidRDefault="001E60A2" w:rsidP="00385285">
            <w:pPr>
              <w:pStyle w:val="ListBullet2"/>
            </w:pPr>
            <w:r w:rsidRPr="00385285">
              <w:t>lighting</w:t>
            </w:r>
          </w:p>
          <w:p w:rsidR="008A62AF" w:rsidRPr="00385285" w:rsidRDefault="001E60A2" w:rsidP="00385285">
            <w:pPr>
              <w:pStyle w:val="ListBullet2"/>
            </w:pPr>
            <w:r w:rsidRPr="00385285">
              <w:t>power cables, including overhead service trays, cables and conduits</w:t>
            </w:r>
          </w:p>
          <w:p w:rsidR="008A62AF" w:rsidRPr="00385285" w:rsidRDefault="001E60A2" w:rsidP="00385285">
            <w:pPr>
              <w:pStyle w:val="ListBullet2"/>
            </w:pPr>
            <w:r w:rsidRPr="00385285">
              <w:t>restricted access barriers</w:t>
            </w:r>
          </w:p>
          <w:p w:rsidR="008A62AF" w:rsidRPr="00385285" w:rsidRDefault="001E60A2" w:rsidP="00385285">
            <w:pPr>
              <w:pStyle w:val="ListBullet2"/>
            </w:pPr>
            <w:r w:rsidRPr="00385285">
              <w:t>surroundi</w:t>
            </w:r>
            <w:r w:rsidRPr="00385285">
              <w:t>ng structures</w:t>
            </w:r>
          </w:p>
          <w:p w:rsidR="008A62AF" w:rsidRPr="00385285" w:rsidRDefault="001E60A2" w:rsidP="00385285">
            <w:pPr>
              <w:pStyle w:val="ListBullet2"/>
            </w:pPr>
            <w:r w:rsidRPr="00385285">
              <w:t>traffic control</w:t>
            </w:r>
          </w:p>
          <w:p w:rsidR="008A62AF" w:rsidRPr="00385285" w:rsidRDefault="001E60A2" w:rsidP="00385285">
            <w:pPr>
              <w:pStyle w:val="ListBullet2"/>
            </w:pPr>
            <w:r w:rsidRPr="00385285">
              <w:t>trip hazards</w:t>
            </w:r>
          </w:p>
          <w:p w:rsidR="008A62AF" w:rsidRPr="00385285" w:rsidRDefault="001E60A2" w:rsidP="00385285">
            <w:pPr>
              <w:pStyle w:val="ListBullet2"/>
            </w:pPr>
            <w:r w:rsidRPr="00385285">
              <w:t>work site visitors and the public</w:t>
            </w:r>
          </w:p>
          <w:p w:rsidR="008A62AF" w:rsidRPr="00385285" w:rsidRDefault="001E60A2" w:rsidP="00385285">
            <w:pPr>
              <w:pStyle w:val="ListBullet2"/>
            </w:pPr>
            <w:r w:rsidRPr="00385285">
              <w:t>working in confined spaces</w:t>
            </w:r>
          </w:p>
          <w:p w:rsidR="008A62AF" w:rsidRPr="00385285" w:rsidRDefault="001E60A2" w:rsidP="00385285">
            <w:pPr>
              <w:pStyle w:val="ListBullet2"/>
            </w:pPr>
            <w:r w:rsidRPr="00385285">
              <w:t>working in proximity to others</w:t>
            </w:r>
          </w:p>
          <w:p w:rsidR="008A62AF" w:rsidRPr="00385285" w:rsidRDefault="001E60A2" w:rsidP="00385285">
            <w:pPr>
              <w:pStyle w:val="ListBullet2"/>
            </w:pPr>
            <w:r w:rsidRPr="00385285">
              <w:t>working with dangerous materials</w:t>
            </w:r>
          </w:p>
          <w:p w:rsidR="008A62AF" w:rsidRPr="00385285" w:rsidRDefault="001E60A2" w:rsidP="00385285">
            <w:pPr>
              <w:pStyle w:val="ListBullet"/>
            </w:pPr>
            <w:r w:rsidRPr="00385285">
              <w:t>organisational first aid</w:t>
            </w:r>
          </w:p>
          <w:p w:rsidR="008A62AF" w:rsidRPr="00385285" w:rsidRDefault="001E60A2" w:rsidP="00385285">
            <w:pPr>
              <w:pStyle w:val="ListBullet"/>
            </w:pPr>
            <w:r w:rsidRPr="00385285">
              <w:t xml:space="preserve">personal protective clothing and equipment prescribed under </w:t>
            </w:r>
            <w:r w:rsidRPr="00385285">
              <w:t>legislation, regulations and workplace policies and practices</w:t>
            </w:r>
          </w:p>
          <w:p w:rsidR="008A62AF" w:rsidRPr="00385285" w:rsidRDefault="001E60A2" w:rsidP="00385285">
            <w:pPr>
              <w:pStyle w:val="ListBullet"/>
            </w:pPr>
            <w:r w:rsidRPr="00385285">
              <w:t>relevant OHS legislation applying in the jurisdiction where work is carried out, including:</w:t>
            </w:r>
          </w:p>
          <w:p w:rsidR="008A62AF" w:rsidRPr="00385285" w:rsidRDefault="001E60A2" w:rsidP="00385285">
            <w:pPr>
              <w:pStyle w:val="ListBullet2"/>
            </w:pPr>
            <w:r w:rsidRPr="00385285">
              <w:t>AS6001 - 1999 Working platforms for domestic application</w:t>
            </w:r>
          </w:p>
          <w:p w:rsidR="008A62AF" w:rsidRPr="00385285" w:rsidRDefault="001E60A2" w:rsidP="00385285">
            <w:pPr>
              <w:pStyle w:val="ListBullet2"/>
            </w:pPr>
            <w:r w:rsidRPr="00385285">
              <w:t>AS1576 - Scaffolding</w:t>
            </w:r>
          </w:p>
          <w:p w:rsidR="008A62AF" w:rsidRPr="00385285" w:rsidRDefault="001E60A2" w:rsidP="00385285">
            <w:pPr>
              <w:pStyle w:val="ListBullet2"/>
            </w:pPr>
            <w:r w:rsidRPr="00385285">
              <w:t>AS/NZS4576 - 1995 Guidel</w:t>
            </w:r>
            <w:r w:rsidRPr="00385285">
              <w:t xml:space="preserve">ines for </w:t>
            </w:r>
            <w:r w:rsidRPr="00385285">
              <w:lastRenderedPageBreak/>
              <w:t>scaffolding</w:t>
            </w:r>
          </w:p>
          <w:p w:rsidR="008A62AF" w:rsidRPr="00385285" w:rsidRDefault="001E60A2" w:rsidP="00385285">
            <w:pPr>
              <w:pStyle w:val="ListBullet"/>
            </w:pPr>
            <w:r w:rsidRPr="00385285">
              <w:t>use of tools and equipment</w:t>
            </w:r>
          </w:p>
          <w:p w:rsidR="008A62AF" w:rsidRDefault="001E60A2" w:rsidP="00385285">
            <w:pPr>
              <w:pStyle w:val="ListBullet"/>
              <w:rPr>
                <w:lang w:val="en-NZ"/>
              </w:rPr>
            </w:pPr>
            <w:proofErr w:type="gramStart"/>
            <w:r w:rsidRPr="00385285">
              <w:t>workplace</w:t>
            </w:r>
            <w:proofErr w:type="gramEnd"/>
            <w:r w:rsidRPr="00385285">
              <w:t xml:space="preserve"> environment and safety.</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lastRenderedPageBreak/>
              <w:t>Statutory and regulatory</w:t>
            </w:r>
            <w:r w:rsidRPr="00385285">
              <w:t xml:space="preserve"> authorities include: </w:t>
            </w:r>
          </w:p>
        </w:tc>
        <w:tc>
          <w:tcPr>
            <w:tcW w:w="5057" w:type="dxa"/>
            <w:tcBorders>
              <w:top w:val="nil"/>
              <w:left w:val="nil"/>
              <w:bottom w:val="nil"/>
              <w:right w:val="nil"/>
            </w:tcBorders>
            <w:tcMar>
              <w:top w:w="0" w:type="dxa"/>
              <w:left w:w="62" w:type="dxa"/>
              <w:bottom w:w="0" w:type="dxa"/>
              <w:right w:w="62" w:type="dxa"/>
            </w:tcMar>
          </w:tcPr>
          <w:p w:rsidR="008A62AF" w:rsidRDefault="001E60A2" w:rsidP="00385285">
            <w:pPr>
              <w:pStyle w:val="ListBullet"/>
              <w:rPr>
                <w:lang w:val="en-NZ"/>
              </w:rPr>
            </w:pPr>
            <w:proofErr w:type="gramStart"/>
            <w:r w:rsidRPr="00385285">
              <w:t>federal</w:t>
            </w:r>
            <w:proofErr w:type="gramEnd"/>
            <w:r w:rsidRPr="00385285">
              <w:t>, state and local authorities administering applicable Acts, regulations and codes of practice.</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t>Hazards</w:t>
            </w:r>
            <w:r w:rsidRPr="00385285">
              <w:t xml:space="preserve"> include:</w:t>
            </w:r>
          </w:p>
        </w:tc>
        <w:tc>
          <w:tcPr>
            <w:tcW w:w="5057"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Bullet"/>
            </w:pPr>
            <w:r w:rsidRPr="00385285">
              <w:t>air t</w:t>
            </w:r>
            <w:r w:rsidRPr="00385285">
              <w:t>emperature</w:t>
            </w:r>
          </w:p>
          <w:p w:rsidR="008A62AF" w:rsidRPr="00385285" w:rsidRDefault="001E60A2" w:rsidP="00385285">
            <w:pPr>
              <w:pStyle w:val="ListBullet"/>
            </w:pPr>
            <w:r w:rsidRPr="00385285">
              <w:t>construction activity involving other workers and contractors</w:t>
            </w:r>
          </w:p>
          <w:p w:rsidR="008A62AF" w:rsidRPr="00385285" w:rsidRDefault="001E60A2" w:rsidP="00385285">
            <w:pPr>
              <w:pStyle w:val="ListBullet"/>
            </w:pPr>
            <w:r w:rsidRPr="00385285">
              <w:t xml:space="preserve">dust and </w:t>
            </w:r>
            <w:proofErr w:type="spellStart"/>
            <w:r w:rsidRPr="00385285">
              <w:t>vapours</w:t>
            </w:r>
            <w:proofErr w:type="spellEnd"/>
          </w:p>
          <w:p w:rsidR="008A62AF" w:rsidRPr="00385285" w:rsidRDefault="001E60A2" w:rsidP="00385285">
            <w:pPr>
              <w:pStyle w:val="ListBullet"/>
            </w:pPr>
            <w:r w:rsidRPr="00385285">
              <w:t>electrical equipment</w:t>
            </w:r>
          </w:p>
          <w:p w:rsidR="008A62AF" w:rsidRPr="00385285" w:rsidRDefault="001E60A2" w:rsidP="00385285">
            <w:pPr>
              <w:pStyle w:val="ListBullet"/>
            </w:pPr>
            <w:r w:rsidRPr="00385285">
              <w:t>energy sources</w:t>
            </w:r>
          </w:p>
          <w:p w:rsidR="008A62AF" w:rsidRPr="00385285" w:rsidRDefault="001E60A2" w:rsidP="00385285">
            <w:pPr>
              <w:pStyle w:val="ListBullet"/>
            </w:pPr>
            <w:r w:rsidRPr="00385285">
              <w:t>equipment and materials</w:t>
            </w:r>
          </w:p>
          <w:p w:rsidR="008A62AF" w:rsidRPr="00385285" w:rsidRDefault="001E60A2" w:rsidP="00385285">
            <w:pPr>
              <w:pStyle w:val="ListBullet"/>
            </w:pPr>
            <w:r w:rsidRPr="00385285">
              <w:t>hazardous materials</w:t>
            </w:r>
          </w:p>
          <w:p w:rsidR="008A62AF" w:rsidRPr="00385285" w:rsidRDefault="001E60A2" w:rsidP="00385285">
            <w:pPr>
              <w:pStyle w:val="ListBullet"/>
            </w:pPr>
            <w:r w:rsidRPr="00385285">
              <w:t>light</w:t>
            </w:r>
          </w:p>
          <w:p w:rsidR="008A62AF" w:rsidRPr="00385285" w:rsidRDefault="001E60A2" w:rsidP="00385285">
            <w:pPr>
              <w:pStyle w:val="ListBullet"/>
            </w:pPr>
            <w:r w:rsidRPr="00385285">
              <w:t>manual handling</w:t>
            </w:r>
          </w:p>
          <w:p w:rsidR="008A62AF" w:rsidRPr="00385285" w:rsidRDefault="001E60A2" w:rsidP="00385285">
            <w:pPr>
              <w:pStyle w:val="ListBullet"/>
            </w:pPr>
            <w:r w:rsidRPr="00385285">
              <w:t>moisture</w:t>
            </w:r>
          </w:p>
          <w:p w:rsidR="008A62AF" w:rsidRPr="00385285" w:rsidRDefault="001E60A2" w:rsidP="00385285">
            <w:pPr>
              <w:pStyle w:val="ListBullet"/>
            </w:pPr>
            <w:r w:rsidRPr="00385285">
              <w:t>noise</w:t>
            </w:r>
          </w:p>
          <w:p w:rsidR="008A62AF" w:rsidRPr="00385285" w:rsidRDefault="001E60A2" w:rsidP="00385285">
            <w:pPr>
              <w:pStyle w:val="ListBullet"/>
            </w:pPr>
            <w:r w:rsidRPr="00385285">
              <w:t>stationary and moving plant</w:t>
            </w:r>
          </w:p>
          <w:p w:rsidR="008A62AF" w:rsidRDefault="001E60A2" w:rsidP="00385285">
            <w:pPr>
              <w:pStyle w:val="ListBullet"/>
              <w:rPr>
                <w:lang w:val="en-NZ"/>
              </w:rPr>
            </w:pPr>
            <w:proofErr w:type="gramStart"/>
            <w:r w:rsidRPr="00385285">
              <w:t>work</w:t>
            </w:r>
            <w:proofErr w:type="gramEnd"/>
            <w:r w:rsidRPr="00385285">
              <w:t xml:space="preserve"> at heights.</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t>Tools and equipment</w:t>
            </w:r>
            <w:r w:rsidRPr="00385285">
              <w:t xml:space="preserve"> include: </w:t>
            </w:r>
          </w:p>
        </w:tc>
        <w:tc>
          <w:tcPr>
            <w:tcW w:w="5057"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Bullet"/>
            </w:pPr>
            <w:r w:rsidRPr="00385285">
              <w:t>air compressors and hoses</w:t>
            </w:r>
          </w:p>
          <w:p w:rsidR="008A62AF" w:rsidRPr="00385285" w:rsidRDefault="001E60A2" w:rsidP="00385285">
            <w:pPr>
              <w:pStyle w:val="ListBullet"/>
            </w:pPr>
            <w:r w:rsidRPr="00385285">
              <w:t>hand and power tools</w:t>
            </w:r>
          </w:p>
          <w:p w:rsidR="008A62AF" w:rsidRPr="00385285" w:rsidRDefault="001E60A2" w:rsidP="00385285">
            <w:pPr>
              <w:pStyle w:val="ListBullet"/>
            </w:pPr>
            <w:r w:rsidRPr="00385285">
              <w:t>nail guns</w:t>
            </w:r>
          </w:p>
          <w:p w:rsidR="008A62AF" w:rsidRPr="00385285" w:rsidRDefault="001E60A2" w:rsidP="00385285">
            <w:pPr>
              <w:pStyle w:val="ListBullet"/>
            </w:pPr>
            <w:r w:rsidRPr="00385285">
              <w:t>power leads</w:t>
            </w:r>
          </w:p>
          <w:p w:rsidR="008A62AF" w:rsidRDefault="001E60A2" w:rsidP="00385285">
            <w:pPr>
              <w:pStyle w:val="ListBullet"/>
              <w:rPr>
                <w:lang w:val="en-NZ"/>
              </w:rPr>
            </w:pPr>
            <w:proofErr w:type="gramStart"/>
            <w:r w:rsidRPr="00385285">
              <w:t>scaffolding</w:t>
            </w:r>
            <w:proofErr w:type="gramEnd"/>
            <w:r w:rsidRPr="00385285">
              <w:t>.</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t>Materials</w:t>
            </w:r>
            <w:r w:rsidRPr="00385285">
              <w:t xml:space="preserve"> include:</w:t>
            </w:r>
          </w:p>
        </w:tc>
        <w:tc>
          <w:tcPr>
            <w:tcW w:w="5057" w:type="dxa"/>
            <w:tcBorders>
              <w:top w:val="nil"/>
              <w:left w:val="nil"/>
              <w:bottom w:val="nil"/>
              <w:right w:val="nil"/>
            </w:tcBorders>
            <w:tcMar>
              <w:top w:w="0" w:type="dxa"/>
              <w:left w:w="62" w:type="dxa"/>
              <w:bottom w:w="0" w:type="dxa"/>
              <w:right w:w="62" w:type="dxa"/>
            </w:tcMar>
          </w:tcPr>
          <w:p w:rsidR="008A62AF" w:rsidRDefault="001E60A2" w:rsidP="00385285">
            <w:pPr>
              <w:pStyle w:val="ListBullet"/>
              <w:rPr>
                <w:lang w:val="en-NZ"/>
              </w:rPr>
            </w:pPr>
            <w:proofErr w:type="gramStart"/>
            <w:r w:rsidRPr="00385285">
              <w:t>materials</w:t>
            </w:r>
            <w:proofErr w:type="gramEnd"/>
            <w:r w:rsidRPr="00385285">
              <w:t xml:space="preserve"> used on the construction work site.</w:t>
            </w:r>
          </w:p>
        </w:tc>
      </w:tr>
      <w:tr w:rsidR="008A62AF" w:rsidTr="006344F7">
        <w:tc>
          <w:tcPr>
            <w:tcW w:w="3465"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BoldandItalics"/>
              </w:rPr>
              <w:t>Environmental requirements</w:t>
            </w:r>
            <w:r w:rsidRPr="00385285">
              <w:t xml:space="preserve"> include: </w:t>
            </w:r>
          </w:p>
        </w:tc>
        <w:tc>
          <w:tcPr>
            <w:tcW w:w="5057" w:type="dxa"/>
            <w:tcBorders>
              <w:top w:val="nil"/>
              <w:left w:val="nil"/>
              <w:bottom w:val="nil"/>
              <w:right w:val="nil"/>
            </w:tcBorders>
            <w:tcMar>
              <w:top w:w="0" w:type="dxa"/>
              <w:left w:w="62" w:type="dxa"/>
              <w:bottom w:w="0" w:type="dxa"/>
              <w:right w:w="62" w:type="dxa"/>
            </w:tcMar>
          </w:tcPr>
          <w:p w:rsidR="008A62AF" w:rsidRPr="00385285" w:rsidRDefault="001E60A2" w:rsidP="00385285">
            <w:pPr>
              <w:pStyle w:val="ListBullet"/>
            </w:pPr>
            <w:r w:rsidRPr="00385285">
              <w:t>clean-up management</w:t>
            </w:r>
          </w:p>
          <w:p w:rsidR="008A62AF" w:rsidRPr="00385285" w:rsidRDefault="001E60A2" w:rsidP="00385285">
            <w:pPr>
              <w:pStyle w:val="ListBullet"/>
            </w:pPr>
            <w:r w:rsidRPr="00385285">
              <w:t>noise and dust</w:t>
            </w:r>
          </w:p>
          <w:p w:rsidR="008A62AF" w:rsidRPr="00385285" w:rsidRDefault="001E60A2" w:rsidP="00385285">
            <w:pPr>
              <w:pStyle w:val="ListBullet"/>
            </w:pPr>
            <w:r w:rsidRPr="00385285">
              <w:t>vibration</w:t>
            </w:r>
          </w:p>
          <w:p w:rsidR="008A62AF" w:rsidRPr="00385285" w:rsidRDefault="001E60A2" w:rsidP="00385285">
            <w:pPr>
              <w:pStyle w:val="ListBullet"/>
            </w:pPr>
            <w:proofErr w:type="gramStart"/>
            <w:r w:rsidRPr="00385285">
              <w:t>waste</w:t>
            </w:r>
            <w:proofErr w:type="gramEnd"/>
            <w:r w:rsidRPr="00385285">
              <w:t xml:space="preserve"> management.</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12" w:name="O_197625"/>
      <w:bookmarkEnd w:id="12"/>
      <w:r w:rsidRPr="00385285">
        <w:t>Unit Sector(s)</w:t>
      </w:r>
    </w:p>
    <w:tbl>
      <w:tblPr>
        <w:tblW w:w="0" w:type="auto"/>
        <w:tblLayout w:type="fixed"/>
        <w:tblCellMar>
          <w:left w:w="62" w:type="dxa"/>
          <w:right w:w="62" w:type="dxa"/>
        </w:tblCellMar>
        <w:tblLook w:val="0000" w:firstRow="0" w:lastRow="0" w:firstColumn="0" w:lastColumn="0" w:noHBand="0" w:noVBand="0"/>
      </w:tblPr>
      <w:tblGrid>
        <w:gridCol w:w="2572"/>
        <w:gridCol w:w="5950"/>
      </w:tblGrid>
      <w:tr w:rsidR="008A62AF" w:rsidTr="006344F7">
        <w:trPr>
          <w:tblHeader/>
        </w:trPr>
        <w:tc>
          <w:tcPr>
            <w:tcW w:w="257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Unit sector</w:t>
            </w:r>
          </w:p>
        </w:tc>
        <w:tc>
          <w:tcPr>
            <w:tcW w:w="5950" w:type="dxa"/>
            <w:tcBorders>
              <w:top w:val="nil"/>
              <w:left w:val="nil"/>
              <w:bottom w:val="nil"/>
              <w:right w:val="nil"/>
            </w:tcBorders>
            <w:tcMar>
              <w:top w:w="0" w:type="dxa"/>
              <w:left w:w="62" w:type="dxa"/>
              <w:bottom w:w="0" w:type="dxa"/>
              <w:right w:w="62" w:type="dxa"/>
            </w:tcMar>
          </w:tcPr>
          <w:p w:rsidR="008A62AF" w:rsidRPr="00385285" w:rsidRDefault="001E60A2" w:rsidP="00385285">
            <w:pPr>
              <w:pStyle w:val="BodyText"/>
            </w:pPr>
            <w:r w:rsidRPr="00385285">
              <w:t>Construction</w:t>
            </w: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13" w:name="O_197622"/>
      <w:bookmarkEnd w:id="13"/>
      <w:r w:rsidRPr="00385285">
        <w:lastRenderedPageBreak/>
        <w:t>Co-requisite units</w:t>
      </w:r>
    </w:p>
    <w:tbl>
      <w:tblPr>
        <w:tblW w:w="0" w:type="auto"/>
        <w:tblLayout w:type="fixed"/>
        <w:tblCellMar>
          <w:left w:w="62" w:type="dxa"/>
          <w:right w:w="62" w:type="dxa"/>
        </w:tblCellMar>
        <w:tblLook w:val="0000" w:firstRow="0" w:lastRow="0" w:firstColumn="0" w:lastColumn="0" w:noHBand="0" w:noVBand="0"/>
      </w:tblPr>
      <w:tblGrid>
        <w:gridCol w:w="2582"/>
        <w:gridCol w:w="2127"/>
        <w:gridCol w:w="3813"/>
      </w:tblGrid>
      <w:tr w:rsidR="008A62AF" w:rsidTr="006344F7">
        <w:trPr>
          <w:tblHeader/>
        </w:trPr>
        <w:tc>
          <w:tcPr>
            <w:tcW w:w="258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Co-requisite units</w:t>
            </w:r>
          </w:p>
        </w:tc>
        <w:tc>
          <w:tcPr>
            <w:tcW w:w="5940" w:type="dxa"/>
            <w:gridSpan w:val="2"/>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t>Nil</w:t>
            </w:r>
          </w:p>
        </w:tc>
      </w:tr>
      <w:tr w:rsidR="008A62AF" w:rsidTr="006344F7">
        <w:tc>
          <w:tcPr>
            <w:tcW w:w="2582" w:type="dxa"/>
            <w:tcBorders>
              <w:top w:val="nil"/>
              <w:left w:val="nil"/>
              <w:bottom w:val="nil"/>
              <w:right w:val="nil"/>
            </w:tcBorders>
            <w:tcMar>
              <w:top w:w="0" w:type="dxa"/>
              <w:left w:w="62" w:type="dxa"/>
              <w:bottom w:w="0" w:type="dxa"/>
              <w:right w:w="62" w:type="dxa"/>
            </w:tcMar>
          </w:tcPr>
          <w:p w:rsidR="008A62AF" w:rsidRDefault="008A62AF">
            <w:pPr>
              <w:pStyle w:val="BodyText"/>
              <w:keepNext w:val="0"/>
              <w:keepLines w:val="0"/>
              <w:contextualSpacing w:val="0"/>
              <w:rPr>
                <w:rFonts w:ascii="Tahoma" w:hAnsi="Tahoma"/>
                <w:color w:val="000000"/>
                <w:sz w:val="20"/>
                <w:lang w:val="en-NZ"/>
              </w:rPr>
            </w:pPr>
          </w:p>
        </w:tc>
        <w:tc>
          <w:tcPr>
            <w:tcW w:w="2127" w:type="dxa"/>
            <w:tcBorders>
              <w:top w:val="nil"/>
              <w:left w:val="nil"/>
              <w:bottom w:val="nil"/>
              <w:right w:val="nil"/>
            </w:tcBorders>
            <w:tcMar>
              <w:top w:w="0" w:type="dxa"/>
              <w:left w:w="62" w:type="dxa"/>
              <w:bottom w:w="0" w:type="dxa"/>
              <w:right w:w="62" w:type="dxa"/>
            </w:tcMar>
          </w:tcPr>
          <w:p w:rsidR="008A62AF" w:rsidRDefault="008A62AF">
            <w:pPr>
              <w:pStyle w:val="BodyText"/>
              <w:keepNext w:val="0"/>
              <w:keepLines w:val="0"/>
              <w:contextualSpacing w:val="0"/>
              <w:rPr>
                <w:rFonts w:ascii="Tahoma" w:hAnsi="Tahoma"/>
                <w:color w:val="000000"/>
                <w:sz w:val="20"/>
                <w:lang w:val="en-NZ"/>
              </w:rPr>
            </w:pPr>
          </w:p>
        </w:tc>
        <w:tc>
          <w:tcPr>
            <w:tcW w:w="3813" w:type="dxa"/>
            <w:tcBorders>
              <w:top w:val="nil"/>
              <w:left w:val="nil"/>
              <w:bottom w:val="nil"/>
              <w:right w:val="nil"/>
            </w:tcBorders>
            <w:tcMar>
              <w:top w:w="0" w:type="dxa"/>
              <w:left w:w="62" w:type="dxa"/>
              <w:bottom w:w="0" w:type="dxa"/>
              <w:right w:w="62" w:type="dxa"/>
            </w:tcMar>
          </w:tcPr>
          <w:p w:rsidR="008A62AF" w:rsidRPr="00385285" w:rsidRDefault="008A62AF" w:rsidP="00385285">
            <w:pPr>
              <w:pStyle w:val="BodyText"/>
            </w:pPr>
          </w:p>
        </w:tc>
      </w:tr>
    </w:tbl>
    <w:p w:rsidR="006344F7" w:rsidRDefault="001E60A2" w:rsidP="00385285">
      <w:pPr>
        <w:pStyle w:val="BodyText"/>
      </w:pPr>
    </w:p>
    <w:p w:rsidR="006344F7" w:rsidRDefault="001E60A2" w:rsidP="00385285">
      <w:pPr>
        <w:pStyle w:val="BodyText"/>
      </w:pPr>
    </w:p>
    <w:p w:rsidR="008A62AF" w:rsidRPr="00385285" w:rsidRDefault="001E60A2" w:rsidP="00385285">
      <w:pPr>
        <w:pStyle w:val="Heading1"/>
      </w:pPr>
      <w:bookmarkStart w:id="14" w:name="O_197624"/>
      <w:bookmarkEnd w:id="14"/>
      <w:r w:rsidRPr="00385285">
        <w:t>Functional area</w:t>
      </w:r>
    </w:p>
    <w:tbl>
      <w:tblPr>
        <w:tblW w:w="0" w:type="auto"/>
        <w:tblLayout w:type="fixed"/>
        <w:tblCellMar>
          <w:left w:w="62" w:type="dxa"/>
          <w:right w:w="62" w:type="dxa"/>
        </w:tblCellMar>
        <w:tblLook w:val="0000" w:firstRow="0" w:lastRow="0" w:firstColumn="0" w:lastColumn="0" w:noHBand="0" w:noVBand="0"/>
      </w:tblPr>
      <w:tblGrid>
        <w:gridCol w:w="2672"/>
        <w:gridCol w:w="5850"/>
      </w:tblGrid>
      <w:tr w:rsidR="008A62AF" w:rsidTr="006344F7">
        <w:trPr>
          <w:tblHeader/>
        </w:trPr>
        <w:tc>
          <w:tcPr>
            <w:tcW w:w="2672" w:type="dxa"/>
            <w:tcBorders>
              <w:top w:val="nil"/>
              <w:left w:val="nil"/>
              <w:bottom w:val="nil"/>
              <w:right w:val="nil"/>
            </w:tcBorders>
            <w:tcMar>
              <w:top w:w="0" w:type="dxa"/>
              <w:left w:w="62" w:type="dxa"/>
              <w:bottom w:w="0" w:type="dxa"/>
              <w:right w:w="62" w:type="dxa"/>
            </w:tcMar>
          </w:tcPr>
          <w:p w:rsidR="008A62AF" w:rsidRDefault="001E60A2" w:rsidP="00385285">
            <w:pPr>
              <w:pStyle w:val="BodyText"/>
              <w:rPr>
                <w:lang w:val="en-NZ"/>
              </w:rPr>
            </w:pPr>
            <w:r w:rsidRPr="00385285">
              <w:rPr>
                <w:rStyle w:val="SpecialBold"/>
              </w:rPr>
              <w:t>Functional area</w:t>
            </w:r>
          </w:p>
        </w:tc>
        <w:tc>
          <w:tcPr>
            <w:tcW w:w="5850" w:type="dxa"/>
            <w:tcBorders>
              <w:top w:val="nil"/>
              <w:left w:val="nil"/>
              <w:bottom w:val="nil"/>
              <w:right w:val="nil"/>
            </w:tcBorders>
            <w:tcMar>
              <w:top w:w="0" w:type="dxa"/>
              <w:left w:w="62" w:type="dxa"/>
              <w:bottom w:w="0" w:type="dxa"/>
              <w:right w:w="62" w:type="dxa"/>
            </w:tcMar>
          </w:tcPr>
          <w:p w:rsidR="008A62AF" w:rsidRPr="00385285" w:rsidRDefault="008A62AF" w:rsidP="00385285">
            <w:pPr>
              <w:pStyle w:val="BodyText"/>
            </w:pPr>
          </w:p>
        </w:tc>
      </w:tr>
    </w:tbl>
    <w:p w:rsidR="006344F7" w:rsidRDefault="001E60A2" w:rsidP="00385285">
      <w:pPr>
        <w:pStyle w:val="BodyText"/>
      </w:pPr>
    </w:p>
    <w:p w:rsidR="006344F7" w:rsidRDefault="001E60A2" w:rsidP="00385285">
      <w:pPr>
        <w:pStyle w:val="BodyText"/>
      </w:pPr>
    </w:p>
    <w:p w:rsidR="008A62AF" w:rsidRPr="00385285" w:rsidRDefault="008A62AF" w:rsidP="00385285"/>
    <w:sectPr w:rsidR="008A62AF" w:rsidRPr="00385285" w:rsidSect="00385285">
      <w:headerReference w:type="default" r:id="rId14"/>
      <w:footerReference w:type="default" r:id="rId15"/>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A2" w:rsidRDefault="001E60A2">
      <w:r>
        <w:separator/>
      </w:r>
    </w:p>
  </w:endnote>
  <w:endnote w:type="continuationSeparator" w:id="0">
    <w:p w:rsidR="001E60A2" w:rsidRDefault="001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5" w:rsidRDefault="001E60A2">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F" w:rsidRPr="006344F7" w:rsidRDefault="008A62AF" w:rsidP="006344F7">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5" w:rsidRDefault="001E60A2">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F7" w:rsidRDefault="001E60A2" w:rsidP="00385285">
    <w:pPr>
      <w:pStyle w:val="Footer"/>
      <w:framePr w:wrap="around"/>
    </w:pPr>
    <w:r>
      <w:fldChar w:fldCharType="begin"/>
    </w:r>
    <w:r>
      <w:instrText xml:space="preserve"> DOCPROPERTY  Subject  \* MERGEFORMAT </w:instrText>
    </w:r>
    <w:r>
      <w:fldChar w:fldCharType="separate"/>
    </w:r>
    <w:r>
      <w:t>Approved</w:t>
    </w:r>
    <w:r>
      <w:fldChar w:fldCharType="end"/>
    </w:r>
    <w:r>
      <w:tab/>
      <w:t xml:space="preserve">Page </w:t>
    </w:r>
    <w:r>
      <w:fldChar w:fldCharType="begin"/>
    </w:r>
    <w:r>
      <w:instrText xml:space="preserve"> PAGE  \* Arabic  \* MERGEFORMAT </w:instrText>
    </w:r>
    <w:r>
      <w:fldChar w:fldCharType="separate"/>
    </w:r>
    <w:r w:rsidR="00806590">
      <w:rPr>
        <w:noProof/>
      </w:rPr>
      <w:t>2</w:t>
    </w:r>
    <w:r>
      <w:fldChar w:fldCharType="end"/>
    </w:r>
    <w:r>
      <w:t xml:space="preserve"> of </w:t>
    </w:r>
    <w:r>
      <w:fldChar w:fldCharType="begin"/>
    </w:r>
    <w:r>
      <w:instrText xml:space="preserve"> NUMPAGES  \* Arabic  \* MERGEFORMAT </w:instrText>
    </w:r>
    <w:r>
      <w:fldChar w:fldCharType="separate"/>
    </w:r>
    <w:r w:rsidR="00806590">
      <w:rPr>
        <w:noProof/>
      </w:rPr>
      <w:t>11</w:t>
    </w:r>
    <w:r>
      <w:rPr>
        <w:noProof/>
      </w:rPr>
      <w:fldChar w:fldCharType="end"/>
    </w:r>
  </w:p>
  <w:p w:rsidR="006344F7" w:rsidRDefault="001E60A2" w:rsidP="00385285">
    <w:pPr>
      <w:pStyle w:val="Footer"/>
      <w:framePr w:wrap="around"/>
    </w:pPr>
    <w:r>
      <w:t xml:space="preserve">© Commonwealth of Australia, </w:t>
    </w:r>
    <w:r>
      <w:fldChar w:fldCharType="begin"/>
    </w:r>
    <w:r>
      <w:instrText xml:space="preserve"> DATE  \@ "yyyy"  \* MERGEFORMAT </w:instrText>
    </w:r>
    <w:r>
      <w:fldChar w:fldCharType="separate"/>
    </w:r>
    <w:r w:rsidR="00806590">
      <w:rPr>
        <w:noProof/>
      </w:rPr>
      <w:t>2012</w:t>
    </w:r>
    <w:r>
      <w:fldChar w:fldCharType="end"/>
    </w:r>
    <w:r>
      <w:tab/>
    </w:r>
    <w:r>
      <w:fldChar w:fldCharType="begin"/>
    </w:r>
    <w:r>
      <w:instrText xml:space="preserve"> DOCPROPERTY  Author  \* MERGEFORMAT </w:instrText>
    </w:r>
    <w:r>
      <w:fldChar w:fldCharType="separate"/>
    </w:r>
    <w:r>
      <w:t>Construction &amp; Property Services Industry Skills Council</w:t>
    </w:r>
    <w:r>
      <w:fldChar w:fldCharType="end"/>
    </w:r>
  </w:p>
  <w:p w:rsidR="006344F7" w:rsidRDefault="001E60A2" w:rsidP="00385285">
    <w:pPr>
      <w:pStyle w:val="Footer"/>
      <w:framePr w:wrap="around" w:hAnchor="text" w:x="285"/>
      <w:pBdr>
        <w:top w:val="nil"/>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A2" w:rsidRDefault="001E60A2">
      <w:r>
        <w:separator/>
      </w:r>
    </w:p>
  </w:footnote>
  <w:footnote w:type="continuationSeparator" w:id="0">
    <w:p w:rsidR="001E60A2" w:rsidRDefault="001E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5" w:rsidRDefault="001E60A2">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F" w:rsidRPr="006344F7" w:rsidRDefault="001E60A2" w:rsidP="006344F7">
    <w:pPr>
      <w:pStyle w:val="BodyText"/>
    </w:pPr>
    <w:r>
      <w:rPr>
        <w:noProof/>
        <w:lang w:val="en-AU" w:eastAsia="en-AU"/>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5" w:rsidRDefault="001E60A2">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F7" w:rsidRDefault="001E60A2" w:rsidP="00385285">
    <w:pPr>
      <w:pStyle w:val="Header"/>
      <w:framePr w:wrap="around"/>
    </w:pPr>
    <w:r>
      <w:fldChar w:fldCharType="begin"/>
    </w:r>
    <w:r>
      <w:instrText xml:space="preserve"> TITLE   \* MERGEFORMAT </w:instrText>
    </w:r>
    <w:r>
      <w:fldChar w:fldCharType="separate"/>
    </w:r>
    <w:r>
      <w:t>CPCCCM2010A Work safely at heights</w:t>
    </w:r>
    <w:r>
      <w:fldChar w:fldCharType="end"/>
    </w:r>
    <w:r>
      <w:tab/>
      <w:t xml:space="preserve">Date this document was generated: </w:t>
    </w:r>
    <w:r>
      <w:fldChar w:fldCharType="begin"/>
    </w:r>
    <w:r>
      <w:instrText xml:space="preserve"> CREATEDATE  \@ "d MMMM yyyy"  \* MERGEFORMAT </w:instrText>
    </w:r>
    <w:r>
      <w:fldChar w:fldCharType="separate"/>
    </w:r>
    <w:r>
      <w:rPr>
        <w:noProof/>
      </w:rPr>
      <w:t>26 May 2012</w:t>
    </w:r>
    <w:r>
      <w:rPr>
        <w:noProof/>
      </w:rPr>
      <w:fldChar w:fldCharType="end"/>
    </w:r>
  </w:p>
  <w:p w:rsidR="006344F7" w:rsidRDefault="001E60A2" w:rsidP="00385285">
    <w:pPr>
      <w:pStyle w:val="Header"/>
      <w:framePr w:wrap="around" w:hAnchor="text" w:x="285"/>
      <w:pBdr>
        <w:bottom w:val="nil"/>
      </w:pBd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A954680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E4AB758"/>
    <w:lvl w:ilvl="0">
      <w:start w:val="1"/>
      <w:numFmt w:val="bullet"/>
      <w:lvlText w:val=""/>
      <w:lvlJc w:val="left"/>
      <w:pPr>
        <w:tabs>
          <w:tab w:val="num" w:pos="360"/>
        </w:tabs>
        <w:ind w:left="360" w:hanging="360"/>
      </w:pPr>
      <w:rPr>
        <w:rFonts w:ascii="Symbol" w:hAnsi="Symbol" w:hint="default"/>
      </w:rPr>
    </w:lvl>
  </w:abstractNum>
  <w:abstractNum w:abstractNumId="8">
    <w:nsid w:val="FFFFFFFE"/>
    <w:multiLevelType w:val="singleLevel"/>
    <w:tmpl w:val="DA06B32E"/>
    <w:lvl w:ilvl="0">
      <w:numFmt w:val="bullet"/>
      <w:lvlText w:val="*"/>
      <w:lvlJc w:val="left"/>
    </w:lvl>
  </w:abstractNum>
  <w:abstractNum w:abstractNumId="9">
    <w:nsid w:val="0F986AE9"/>
    <w:multiLevelType w:val="hybridMultilevel"/>
    <w:tmpl w:val="3224FB34"/>
    <w:lvl w:ilvl="0" w:tplc="02F820E0">
      <w:start w:val="1"/>
      <w:numFmt w:val="bullet"/>
      <w:pStyle w:val="TableListBullet"/>
      <w:lvlText w:val=""/>
      <w:lvlJc w:val="left"/>
      <w:pPr>
        <w:tabs>
          <w:tab w:val="num" w:pos="360"/>
        </w:tabs>
        <w:ind w:left="360" w:hanging="360"/>
      </w:pPr>
      <w:rPr>
        <w:rFonts w:ascii="Webdings" w:hAnsi="Webdings" w:hint="default"/>
        <w:color w:val="808080"/>
        <w:sz w:val="20"/>
      </w:rPr>
    </w:lvl>
    <w:lvl w:ilvl="1" w:tplc="8958649A" w:tentative="1">
      <w:start w:val="1"/>
      <w:numFmt w:val="bullet"/>
      <w:lvlText w:val="o"/>
      <w:lvlJc w:val="left"/>
      <w:pPr>
        <w:tabs>
          <w:tab w:val="num" w:pos="1440"/>
        </w:tabs>
        <w:ind w:left="1440" w:hanging="360"/>
      </w:pPr>
      <w:rPr>
        <w:rFonts w:ascii="Courier New" w:hAnsi="Courier New" w:cs="Courier New" w:hint="default"/>
      </w:rPr>
    </w:lvl>
    <w:lvl w:ilvl="2" w:tplc="E4EA8C66" w:tentative="1">
      <w:start w:val="1"/>
      <w:numFmt w:val="bullet"/>
      <w:lvlText w:val=""/>
      <w:lvlJc w:val="left"/>
      <w:pPr>
        <w:tabs>
          <w:tab w:val="num" w:pos="2160"/>
        </w:tabs>
        <w:ind w:left="2160" w:hanging="360"/>
      </w:pPr>
      <w:rPr>
        <w:rFonts w:ascii="Wingdings" w:hAnsi="Wingdings" w:hint="default"/>
      </w:rPr>
    </w:lvl>
    <w:lvl w:ilvl="3" w:tplc="862EF7C0" w:tentative="1">
      <w:start w:val="1"/>
      <w:numFmt w:val="bullet"/>
      <w:lvlText w:val=""/>
      <w:lvlJc w:val="left"/>
      <w:pPr>
        <w:tabs>
          <w:tab w:val="num" w:pos="2880"/>
        </w:tabs>
        <w:ind w:left="2880" w:hanging="360"/>
      </w:pPr>
      <w:rPr>
        <w:rFonts w:ascii="Symbol" w:hAnsi="Symbol" w:hint="default"/>
      </w:rPr>
    </w:lvl>
    <w:lvl w:ilvl="4" w:tplc="16CC16BC" w:tentative="1">
      <w:start w:val="1"/>
      <w:numFmt w:val="bullet"/>
      <w:lvlText w:val="o"/>
      <w:lvlJc w:val="left"/>
      <w:pPr>
        <w:tabs>
          <w:tab w:val="num" w:pos="3600"/>
        </w:tabs>
        <w:ind w:left="3600" w:hanging="360"/>
      </w:pPr>
      <w:rPr>
        <w:rFonts w:ascii="Courier New" w:hAnsi="Courier New" w:cs="Courier New" w:hint="default"/>
      </w:rPr>
    </w:lvl>
    <w:lvl w:ilvl="5" w:tplc="7B7E209A" w:tentative="1">
      <w:start w:val="1"/>
      <w:numFmt w:val="bullet"/>
      <w:lvlText w:val=""/>
      <w:lvlJc w:val="left"/>
      <w:pPr>
        <w:tabs>
          <w:tab w:val="num" w:pos="4320"/>
        </w:tabs>
        <w:ind w:left="4320" w:hanging="360"/>
      </w:pPr>
      <w:rPr>
        <w:rFonts w:ascii="Wingdings" w:hAnsi="Wingdings" w:hint="default"/>
      </w:rPr>
    </w:lvl>
    <w:lvl w:ilvl="6" w:tplc="0DEC7328" w:tentative="1">
      <w:start w:val="1"/>
      <w:numFmt w:val="bullet"/>
      <w:lvlText w:val=""/>
      <w:lvlJc w:val="left"/>
      <w:pPr>
        <w:tabs>
          <w:tab w:val="num" w:pos="5040"/>
        </w:tabs>
        <w:ind w:left="5040" w:hanging="360"/>
      </w:pPr>
      <w:rPr>
        <w:rFonts w:ascii="Symbol" w:hAnsi="Symbol" w:hint="default"/>
      </w:rPr>
    </w:lvl>
    <w:lvl w:ilvl="7" w:tplc="639A7BE2" w:tentative="1">
      <w:start w:val="1"/>
      <w:numFmt w:val="bullet"/>
      <w:lvlText w:val="o"/>
      <w:lvlJc w:val="left"/>
      <w:pPr>
        <w:tabs>
          <w:tab w:val="num" w:pos="5760"/>
        </w:tabs>
        <w:ind w:left="5760" w:hanging="360"/>
      </w:pPr>
      <w:rPr>
        <w:rFonts w:ascii="Courier New" w:hAnsi="Courier New" w:cs="Courier New" w:hint="default"/>
      </w:rPr>
    </w:lvl>
    <w:lvl w:ilvl="8" w:tplc="05D65D5C"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4DC61426">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7610CBD4" w:tentative="1">
      <w:start w:val="1"/>
      <w:numFmt w:val="lowerLetter"/>
      <w:lvlText w:val="%2."/>
      <w:lvlJc w:val="left"/>
      <w:pPr>
        <w:tabs>
          <w:tab w:val="num" w:pos="1440"/>
        </w:tabs>
        <w:ind w:left="1440" w:hanging="360"/>
      </w:pPr>
    </w:lvl>
    <w:lvl w:ilvl="2" w:tplc="3698B838" w:tentative="1">
      <w:start w:val="1"/>
      <w:numFmt w:val="lowerRoman"/>
      <w:lvlText w:val="%3."/>
      <w:lvlJc w:val="right"/>
      <w:pPr>
        <w:tabs>
          <w:tab w:val="num" w:pos="2160"/>
        </w:tabs>
        <w:ind w:left="2160" w:hanging="180"/>
      </w:pPr>
    </w:lvl>
    <w:lvl w:ilvl="3" w:tplc="E018807C" w:tentative="1">
      <w:start w:val="1"/>
      <w:numFmt w:val="decimal"/>
      <w:lvlText w:val="%4."/>
      <w:lvlJc w:val="left"/>
      <w:pPr>
        <w:tabs>
          <w:tab w:val="num" w:pos="2880"/>
        </w:tabs>
        <w:ind w:left="2880" w:hanging="360"/>
      </w:pPr>
    </w:lvl>
    <w:lvl w:ilvl="4" w:tplc="929AB7E0" w:tentative="1">
      <w:start w:val="1"/>
      <w:numFmt w:val="lowerLetter"/>
      <w:lvlText w:val="%5."/>
      <w:lvlJc w:val="left"/>
      <w:pPr>
        <w:tabs>
          <w:tab w:val="num" w:pos="3600"/>
        </w:tabs>
        <w:ind w:left="3600" w:hanging="360"/>
      </w:pPr>
    </w:lvl>
    <w:lvl w:ilvl="5" w:tplc="C220BCCA" w:tentative="1">
      <w:start w:val="1"/>
      <w:numFmt w:val="lowerRoman"/>
      <w:lvlText w:val="%6."/>
      <w:lvlJc w:val="right"/>
      <w:pPr>
        <w:tabs>
          <w:tab w:val="num" w:pos="4320"/>
        </w:tabs>
        <w:ind w:left="4320" w:hanging="180"/>
      </w:pPr>
    </w:lvl>
    <w:lvl w:ilvl="6" w:tplc="1CC61FB2" w:tentative="1">
      <w:start w:val="1"/>
      <w:numFmt w:val="decimal"/>
      <w:lvlText w:val="%7."/>
      <w:lvlJc w:val="left"/>
      <w:pPr>
        <w:tabs>
          <w:tab w:val="num" w:pos="5040"/>
        </w:tabs>
        <w:ind w:left="5040" w:hanging="360"/>
      </w:pPr>
    </w:lvl>
    <w:lvl w:ilvl="7" w:tplc="3AD45CCA" w:tentative="1">
      <w:start w:val="1"/>
      <w:numFmt w:val="lowerLetter"/>
      <w:lvlText w:val="%8."/>
      <w:lvlJc w:val="left"/>
      <w:pPr>
        <w:tabs>
          <w:tab w:val="num" w:pos="5760"/>
        </w:tabs>
        <w:ind w:left="5760" w:hanging="360"/>
      </w:pPr>
    </w:lvl>
    <w:lvl w:ilvl="8" w:tplc="370E5D2E"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10722600">
      <w:start w:val="1"/>
      <w:numFmt w:val="lowerLetter"/>
      <w:pStyle w:val="ListAlpha2"/>
      <w:lvlText w:val="%1."/>
      <w:lvlJc w:val="left"/>
      <w:pPr>
        <w:tabs>
          <w:tab w:val="num" w:pos="1060"/>
        </w:tabs>
        <w:ind w:left="681" w:hanging="341"/>
      </w:pPr>
      <w:rPr>
        <w:rFonts w:hint="default"/>
      </w:rPr>
    </w:lvl>
    <w:lvl w:ilvl="1" w:tplc="5A0A9920" w:tentative="1">
      <w:start w:val="1"/>
      <w:numFmt w:val="lowerLetter"/>
      <w:lvlText w:val="%2."/>
      <w:lvlJc w:val="left"/>
      <w:pPr>
        <w:tabs>
          <w:tab w:val="num" w:pos="1780"/>
        </w:tabs>
        <w:ind w:left="1780" w:hanging="360"/>
      </w:pPr>
    </w:lvl>
    <w:lvl w:ilvl="2" w:tplc="044C2CD4" w:tentative="1">
      <w:start w:val="1"/>
      <w:numFmt w:val="lowerRoman"/>
      <w:lvlText w:val="%3."/>
      <w:lvlJc w:val="right"/>
      <w:pPr>
        <w:tabs>
          <w:tab w:val="num" w:pos="2500"/>
        </w:tabs>
        <w:ind w:left="2500" w:hanging="180"/>
      </w:pPr>
    </w:lvl>
    <w:lvl w:ilvl="3" w:tplc="19E85790" w:tentative="1">
      <w:start w:val="1"/>
      <w:numFmt w:val="decimal"/>
      <w:lvlText w:val="%4."/>
      <w:lvlJc w:val="left"/>
      <w:pPr>
        <w:tabs>
          <w:tab w:val="num" w:pos="3220"/>
        </w:tabs>
        <w:ind w:left="3220" w:hanging="360"/>
      </w:pPr>
    </w:lvl>
    <w:lvl w:ilvl="4" w:tplc="93327A2C" w:tentative="1">
      <w:start w:val="1"/>
      <w:numFmt w:val="lowerLetter"/>
      <w:lvlText w:val="%5."/>
      <w:lvlJc w:val="left"/>
      <w:pPr>
        <w:tabs>
          <w:tab w:val="num" w:pos="3940"/>
        </w:tabs>
        <w:ind w:left="3940" w:hanging="360"/>
      </w:pPr>
    </w:lvl>
    <w:lvl w:ilvl="5" w:tplc="8B20B590" w:tentative="1">
      <w:start w:val="1"/>
      <w:numFmt w:val="lowerRoman"/>
      <w:lvlText w:val="%6."/>
      <w:lvlJc w:val="right"/>
      <w:pPr>
        <w:tabs>
          <w:tab w:val="num" w:pos="4660"/>
        </w:tabs>
        <w:ind w:left="4660" w:hanging="180"/>
      </w:pPr>
    </w:lvl>
    <w:lvl w:ilvl="6" w:tplc="0346FB42" w:tentative="1">
      <w:start w:val="1"/>
      <w:numFmt w:val="decimal"/>
      <w:lvlText w:val="%7."/>
      <w:lvlJc w:val="left"/>
      <w:pPr>
        <w:tabs>
          <w:tab w:val="num" w:pos="5380"/>
        </w:tabs>
        <w:ind w:left="5380" w:hanging="360"/>
      </w:pPr>
    </w:lvl>
    <w:lvl w:ilvl="7" w:tplc="995CECAA" w:tentative="1">
      <w:start w:val="1"/>
      <w:numFmt w:val="lowerLetter"/>
      <w:lvlText w:val="%8."/>
      <w:lvlJc w:val="left"/>
      <w:pPr>
        <w:tabs>
          <w:tab w:val="num" w:pos="6100"/>
        </w:tabs>
        <w:ind w:left="6100" w:hanging="360"/>
      </w:pPr>
    </w:lvl>
    <w:lvl w:ilvl="8" w:tplc="F98ADF36"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A62AF"/>
    <w:rsid w:val="001E60A2"/>
    <w:rsid w:val="004B33B3"/>
    <w:rsid w:val="00806590"/>
    <w:rsid w:val="008A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85"/>
    <w:pPr>
      <w:keepNext/>
      <w:keepLines/>
      <w:spacing w:after="0" w:line="240" w:lineRule="auto"/>
    </w:pPr>
    <w:rPr>
      <w:rFonts w:ascii="Courier New" w:eastAsia="Times New Roman" w:hAnsi="Courier New" w:cs="Times New Roman"/>
      <w:szCs w:val="20"/>
      <w:lang w:val="en-US" w:eastAsia="en-US"/>
    </w:rPr>
  </w:style>
  <w:style w:type="paragraph" w:styleId="Heading1">
    <w:name w:val="heading 1"/>
    <w:basedOn w:val="HeadingBase"/>
    <w:next w:val="Heading2"/>
    <w:link w:val="Heading1Char"/>
    <w:qFormat/>
    <w:rsid w:val="00385285"/>
    <w:pPr>
      <w:spacing w:before="360" w:after="60"/>
      <w:outlineLvl w:val="0"/>
    </w:pPr>
    <w:rPr>
      <w:sz w:val="32"/>
    </w:rPr>
  </w:style>
  <w:style w:type="paragraph" w:styleId="Heading2">
    <w:name w:val="heading 2"/>
    <w:basedOn w:val="HeadingBase"/>
    <w:next w:val="BodyText"/>
    <w:link w:val="Heading2Char"/>
    <w:qFormat/>
    <w:rsid w:val="00385285"/>
    <w:pPr>
      <w:keepLines/>
      <w:spacing w:before="240" w:after="120"/>
      <w:outlineLvl w:val="1"/>
    </w:pPr>
    <w:rPr>
      <w:sz w:val="28"/>
      <w:szCs w:val="40"/>
    </w:rPr>
  </w:style>
  <w:style w:type="paragraph" w:styleId="Heading3">
    <w:name w:val="heading 3"/>
    <w:basedOn w:val="HeadingBase"/>
    <w:next w:val="BodyText"/>
    <w:link w:val="Heading3Char"/>
    <w:qFormat/>
    <w:rsid w:val="00385285"/>
    <w:pPr>
      <w:spacing w:before="180" w:after="120"/>
      <w:outlineLvl w:val="2"/>
    </w:pPr>
    <w:rPr>
      <w:spacing w:val="-10"/>
      <w:kern w:val="32"/>
    </w:rPr>
  </w:style>
  <w:style w:type="paragraph" w:styleId="Heading4">
    <w:name w:val="heading 4"/>
    <w:basedOn w:val="HeadingBase"/>
    <w:next w:val="BodyText"/>
    <w:link w:val="Heading4Char"/>
    <w:qFormat/>
    <w:rsid w:val="00385285"/>
    <w:pPr>
      <w:spacing w:before="160" w:after="120"/>
      <w:outlineLvl w:val="3"/>
    </w:pPr>
    <w:rPr>
      <w:sz w:val="22"/>
    </w:rPr>
  </w:style>
  <w:style w:type="paragraph" w:styleId="Heading5">
    <w:name w:val="heading 5"/>
    <w:basedOn w:val="HeadingBase"/>
    <w:next w:val="Normal"/>
    <w:link w:val="Heading5Char"/>
    <w:qFormat/>
    <w:rsid w:val="00385285"/>
    <w:pPr>
      <w:spacing w:before="80"/>
      <w:outlineLvl w:val="4"/>
    </w:pPr>
    <w:rPr>
      <w:color w:val="918585"/>
      <w:sz w:val="20"/>
    </w:rPr>
  </w:style>
  <w:style w:type="paragraph" w:styleId="Heading6">
    <w:name w:val="heading 6"/>
    <w:basedOn w:val="HeadingBase"/>
    <w:next w:val="Normal"/>
    <w:link w:val="Heading6Char"/>
    <w:qFormat/>
    <w:rsid w:val="00385285"/>
    <w:pPr>
      <w:spacing w:before="60"/>
      <w:outlineLvl w:val="5"/>
    </w:pPr>
    <w:rPr>
      <w:color w:val="918585"/>
      <w:sz w:val="20"/>
    </w:rPr>
  </w:style>
  <w:style w:type="paragraph" w:styleId="Heading7">
    <w:name w:val="heading 7"/>
    <w:basedOn w:val="Normal"/>
    <w:next w:val="Normal"/>
    <w:link w:val="Heading7Char"/>
    <w:qFormat/>
    <w:rsid w:val="00385285"/>
    <w:pPr>
      <w:ind w:left="720"/>
      <w:outlineLvl w:val="6"/>
    </w:pPr>
    <w:rPr>
      <w:i/>
    </w:rPr>
  </w:style>
  <w:style w:type="paragraph" w:styleId="Heading8">
    <w:name w:val="heading 8"/>
    <w:basedOn w:val="Normal"/>
    <w:next w:val="Normal"/>
    <w:link w:val="Heading8Char"/>
    <w:qFormat/>
    <w:rsid w:val="00385285"/>
    <w:pPr>
      <w:ind w:left="720"/>
      <w:outlineLvl w:val="7"/>
    </w:pPr>
    <w:rPr>
      <w:i/>
    </w:rPr>
  </w:style>
  <w:style w:type="paragraph" w:styleId="Heading9">
    <w:name w:val="heading 9"/>
    <w:basedOn w:val="Normal"/>
    <w:next w:val="Normal"/>
    <w:link w:val="Heading9Char"/>
    <w:qFormat/>
    <w:rsid w:val="0038528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85"/>
    <w:rPr>
      <w:rFonts w:ascii="Times New Roman" w:eastAsia="Times New Roman" w:hAnsi="Times New Roman" w:cs="Times New Roman"/>
      <w:b/>
      <w:sz w:val="32"/>
      <w:szCs w:val="20"/>
      <w:lang w:eastAsia="en-US"/>
    </w:rPr>
  </w:style>
  <w:style w:type="paragraph" w:styleId="BodyText">
    <w:name w:val="Body Text"/>
    <w:basedOn w:val="Normal"/>
    <w:link w:val="BodyTextChar"/>
    <w:rsid w:val="00385285"/>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385285"/>
    <w:rPr>
      <w:rFonts w:ascii="Times New Roman" w:eastAsia="Times New Roman" w:hAnsi="Times New Roman" w:cs="Times New Roman"/>
      <w:sz w:val="24"/>
      <w:lang w:val="en-US" w:eastAsia="en-US"/>
    </w:rPr>
  </w:style>
  <w:style w:type="paragraph" w:styleId="Footer">
    <w:name w:val="footer"/>
    <w:basedOn w:val="Normal"/>
    <w:link w:val="FooterChar"/>
    <w:rsid w:val="00385285"/>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385285"/>
    <w:rPr>
      <w:rFonts w:ascii="Times New Roman" w:eastAsia="Times New Roman" w:hAnsi="Times New Roman" w:cs="Times New Roman"/>
      <w:sz w:val="16"/>
      <w:lang w:val="en-US" w:eastAsia="en-US"/>
    </w:rPr>
  </w:style>
  <w:style w:type="paragraph" w:styleId="List">
    <w:name w:val="List"/>
    <w:basedOn w:val="BodyText"/>
    <w:next w:val="BodyText"/>
    <w:rsid w:val="00385285"/>
    <w:pPr>
      <w:tabs>
        <w:tab w:val="left" w:pos="340"/>
      </w:tabs>
      <w:spacing w:before="60" w:after="60"/>
      <w:ind w:left="340" w:hanging="340"/>
    </w:pPr>
  </w:style>
  <w:style w:type="paragraph" w:styleId="ListBullet">
    <w:name w:val="List Bullet"/>
    <w:basedOn w:val="List"/>
    <w:rsid w:val="00385285"/>
    <w:pPr>
      <w:numPr>
        <w:numId w:val="13"/>
      </w:numPr>
      <w:tabs>
        <w:tab w:val="clear" w:pos="340"/>
      </w:tabs>
      <w:spacing w:before="40" w:after="40"/>
    </w:pPr>
  </w:style>
  <w:style w:type="character" w:customStyle="1" w:styleId="SpecialBold">
    <w:name w:val="Special Bold"/>
    <w:basedOn w:val="DefaultParagraphFont"/>
    <w:rsid w:val="00385285"/>
    <w:rPr>
      <w:b/>
      <w:spacing w:val="0"/>
    </w:rPr>
  </w:style>
  <w:style w:type="paragraph" w:styleId="ListBullet2">
    <w:name w:val="List Bullet 2"/>
    <w:basedOn w:val="List2"/>
    <w:rsid w:val="00385285"/>
    <w:pPr>
      <w:numPr>
        <w:numId w:val="14"/>
      </w:numPr>
      <w:tabs>
        <w:tab w:val="clear" w:pos="680"/>
      </w:tabs>
    </w:pPr>
  </w:style>
  <w:style w:type="paragraph" w:styleId="Header">
    <w:name w:val="header"/>
    <w:basedOn w:val="Normal"/>
    <w:link w:val="HeaderChar"/>
    <w:rsid w:val="00385285"/>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385285"/>
    <w:rPr>
      <w:rFonts w:ascii="Times New Roman" w:eastAsia="Times New Roman" w:hAnsi="Times New Roman" w:cs="Times New Roman"/>
      <w:sz w:val="16"/>
      <w:szCs w:val="20"/>
      <w:lang w:val="en-GB" w:eastAsia="en-US"/>
    </w:rPr>
  </w:style>
  <w:style w:type="paragraph" w:customStyle="1" w:styleId="SuperHeading">
    <w:name w:val="SuperHeading"/>
    <w:basedOn w:val="Normal"/>
    <w:rsid w:val="00385285"/>
    <w:pPr>
      <w:spacing w:before="240" w:after="120"/>
      <w:outlineLvl w:val="0"/>
    </w:pPr>
    <w:rPr>
      <w:rFonts w:ascii="Times New Roman" w:hAnsi="Times New Roman"/>
      <w:b/>
      <w:sz w:val="28"/>
    </w:rPr>
  </w:style>
  <w:style w:type="paragraph" w:customStyle="1" w:styleId="AllowPageBreak">
    <w:name w:val="AllowPageBreak"/>
    <w:rsid w:val="00385285"/>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385285"/>
    <w:pPr>
      <w:tabs>
        <w:tab w:val="left" w:pos="680"/>
      </w:tabs>
      <w:spacing w:before="60" w:after="60"/>
      <w:ind w:left="680" w:hanging="340"/>
    </w:pPr>
  </w:style>
  <w:style w:type="character" w:customStyle="1" w:styleId="BoldandItalics">
    <w:name w:val="Bold and Italics"/>
    <w:qFormat/>
    <w:rsid w:val="00385285"/>
    <w:rPr>
      <w:b/>
      <w:i/>
      <w:u w:val="none"/>
    </w:rPr>
  </w:style>
  <w:style w:type="character" w:customStyle="1" w:styleId="Heading2Char">
    <w:name w:val="Heading 2 Char"/>
    <w:basedOn w:val="DefaultParagraphFont"/>
    <w:link w:val="Heading2"/>
    <w:rsid w:val="00385285"/>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385285"/>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385285"/>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385285"/>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385285"/>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385285"/>
    <w:rPr>
      <w:rFonts w:ascii="Courier New" w:eastAsia="Times New Roman" w:hAnsi="Courier New" w:cs="Times New Roman"/>
      <w:i/>
      <w:szCs w:val="20"/>
      <w:lang w:val="en-US" w:eastAsia="en-US"/>
    </w:rPr>
  </w:style>
  <w:style w:type="character" w:customStyle="1" w:styleId="Heading8Char">
    <w:name w:val="Heading 8 Char"/>
    <w:basedOn w:val="DefaultParagraphFont"/>
    <w:link w:val="Heading8"/>
    <w:rsid w:val="00385285"/>
    <w:rPr>
      <w:rFonts w:ascii="Courier New" w:eastAsia="Times New Roman" w:hAnsi="Courier New" w:cs="Times New Roman"/>
      <w:i/>
      <w:szCs w:val="20"/>
      <w:lang w:val="en-US" w:eastAsia="en-US"/>
    </w:rPr>
  </w:style>
  <w:style w:type="character" w:customStyle="1" w:styleId="Heading9Char">
    <w:name w:val="Heading 9 Char"/>
    <w:basedOn w:val="DefaultParagraphFont"/>
    <w:link w:val="Heading9"/>
    <w:rsid w:val="00385285"/>
    <w:rPr>
      <w:rFonts w:ascii="Courier New" w:eastAsia="Times New Roman" w:hAnsi="Courier New" w:cs="Times New Roman"/>
      <w:i/>
      <w:szCs w:val="20"/>
      <w:lang w:val="en-US" w:eastAsia="en-US"/>
    </w:rPr>
  </w:style>
  <w:style w:type="paragraph" w:customStyle="1" w:styleId="HeadingBase">
    <w:name w:val="Heading Base"/>
    <w:rsid w:val="00385285"/>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385285"/>
    <w:pPr>
      <w:tabs>
        <w:tab w:val="right" w:leader="dot" w:pos="9072"/>
      </w:tabs>
      <w:ind w:left="567"/>
    </w:pPr>
    <w:rPr>
      <w:szCs w:val="22"/>
    </w:rPr>
  </w:style>
  <w:style w:type="paragraph" w:customStyle="1" w:styleId="TOCBase">
    <w:name w:val="TOC Base"/>
    <w:rsid w:val="00385285"/>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385285"/>
    <w:pPr>
      <w:tabs>
        <w:tab w:val="right" w:leader="dot" w:pos="9072"/>
      </w:tabs>
      <w:spacing w:before="40" w:after="40"/>
      <w:ind w:left="284"/>
    </w:pPr>
    <w:rPr>
      <w:rFonts w:ascii="Times New Roman" w:hAnsi="Times New Roman"/>
    </w:rPr>
  </w:style>
  <w:style w:type="paragraph" w:styleId="TOC1">
    <w:name w:val="toc 1"/>
    <w:basedOn w:val="TOCBase"/>
    <w:next w:val="Normal"/>
    <w:rsid w:val="00385285"/>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385285"/>
    <w:pPr>
      <w:spacing w:before="5040"/>
      <w:jc w:val="center"/>
    </w:pPr>
    <w:rPr>
      <w:sz w:val="48"/>
      <w:szCs w:val="72"/>
      <w:lang w:val="en-US"/>
    </w:rPr>
  </w:style>
  <w:style w:type="character" w:customStyle="1" w:styleId="TitleChar">
    <w:name w:val="Title Char"/>
    <w:basedOn w:val="DefaultParagraphFont"/>
    <w:link w:val="Title"/>
    <w:rsid w:val="00385285"/>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385285"/>
    <w:pPr>
      <w:tabs>
        <w:tab w:val="left" w:pos="3600"/>
        <w:tab w:val="left" w:pos="3958"/>
      </w:tabs>
    </w:pPr>
  </w:style>
  <w:style w:type="paragraph" w:customStyle="1" w:styleId="Note">
    <w:name w:val="Note"/>
    <w:basedOn w:val="BodyText"/>
    <w:rsid w:val="00385285"/>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385285"/>
    <w:pPr>
      <w:framePr w:wrap="auto" w:hAnchor="text" w:y="6049"/>
    </w:pPr>
    <w:rPr>
      <w:color w:val="000000"/>
      <w:sz w:val="40"/>
    </w:rPr>
  </w:style>
  <w:style w:type="paragraph" w:customStyle="1" w:styleId="TOCTitle">
    <w:name w:val="TOCTitle"/>
    <w:basedOn w:val="Heading1"/>
    <w:rsid w:val="00385285"/>
    <w:pPr>
      <w:spacing w:after="240"/>
      <w:jc w:val="center"/>
      <w:outlineLvl w:val="9"/>
    </w:pPr>
    <w:rPr>
      <w:caps/>
    </w:rPr>
  </w:style>
  <w:style w:type="paragraph" w:customStyle="1" w:styleId="Version">
    <w:name w:val="Version"/>
    <w:rsid w:val="00385285"/>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385285"/>
    <w:pPr>
      <w:keepNext w:val="0"/>
      <w:tabs>
        <w:tab w:val="right" w:pos="4176"/>
      </w:tabs>
      <w:ind w:left="198" w:hanging="198"/>
    </w:pPr>
    <w:rPr>
      <w:rFonts w:ascii="Garamond" w:hAnsi="Garamond"/>
    </w:rPr>
  </w:style>
  <w:style w:type="paragraph" w:styleId="IndexHeading">
    <w:name w:val="index heading"/>
    <w:basedOn w:val="Normal"/>
    <w:next w:val="Index1"/>
    <w:semiHidden/>
    <w:rsid w:val="00385285"/>
    <w:pPr>
      <w:spacing w:before="120" w:after="120"/>
    </w:pPr>
    <w:rPr>
      <w:rFonts w:ascii="Arial" w:hAnsi="Arial"/>
      <w:b/>
      <w:color w:val="918585"/>
      <w:sz w:val="24"/>
    </w:rPr>
  </w:style>
  <w:style w:type="paragraph" w:customStyle="1" w:styleId="Chapter">
    <w:name w:val="Chapter"/>
    <w:basedOn w:val="Normal"/>
    <w:rsid w:val="00385285"/>
    <w:pPr>
      <w:spacing w:before="240"/>
    </w:pPr>
    <w:rPr>
      <w:rFonts w:ascii="Times New Roman" w:hAnsi="Times New Roman"/>
      <w:smallCaps/>
      <w:spacing w:val="80"/>
      <w:sz w:val="28"/>
    </w:rPr>
  </w:style>
  <w:style w:type="paragraph" w:customStyle="1" w:styleId="InChapter">
    <w:name w:val="InChapter"/>
    <w:basedOn w:val="Heading3"/>
    <w:rsid w:val="00385285"/>
    <w:pPr>
      <w:spacing w:after="240"/>
      <w:outlineLvl w:val="9"/>
    </w:pPr>
    <w:rPr>
      <w:noProof/>
    </w:rPr>
  </w:style>
  <w:style w:type="paragraph" w:styleId="Index2">
    <w:name w:val="index 2"/>
    <w:basedOn w:val="Normal"/>
    <w:next w:val="Normal"/>
    <w:semiHidden/>
    <w:rsid w:val="00385285"/>
    <w:pPr>
      <w:tabs>
        <w:tab w:val="right" w:pos="4176"/>
      </w:tabs>
      <w:ind w:left="568" w:hanging="284"/>
    </w:pPr>
    <w:rPr>
      <w:rFonts w:ascii="Garamond" w:hAnsi="Garamond"/>
    </w:rPr>
  </w:style>
  <w:style w:type="paragraph" w:customStyle="1" w:styleId="Byline">
    <w:name w:val="Byline"/>
    <w:rsid w:val="00385285"/>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385285"/>
    <w:pPr>
      <w:tabs>
        <w:tab w:val="clear" w:pos="3600"/>
        <w:tab w:val="clear" w:pos="3958"/>
      </w:tabs>
      <w:jc w:val="right"/>
    </w:pPr>
  </w:style>
  <w:style w:type="character" w:styleId="Emphasis">
    <w:name w:val="Emphasis"/>
    <w:basedOn w:val="DefaultParagraphFont"/>
    <w:qFormat/>
    <w:rsid w:val="00385285"/>
    <w:rPr>
      <w:i/>
    </w:rPr>
  </w:style>
  <w:style w:type="paragraph" w:styleId="Caption">
    <w:name w:val="caption"/>
    <w:basedOn w:val="BodyText"/>
    <w:next w:val="Normal"/>
    <w:qFormat/>
    <w:rsid w:val="00385285"/>
    <w:pPr>
      <w:framePr w:w="2268" w:hSpace="181" w:vSpace="181" w:wrap="around" w:vAnchor="text" w:hAnchor="page" w:x="1135" w:y="285" w:anchorLock="1"/>
    </w:pPr>
    <w:rPr>
      <w:i/>
    </w:rPr>
  </w:style>
  <w:style w:type="paragraph" w:customStyle="1" w:styleId="MiniTOCTitle">
    <w:name w:val="MiniTOCTitle"/>
    <w:basedOn w:val="Heading4"/>
    <w:rsid w:val="00385285"/>
    <w:pPr>
      <w:spacing w:before="240"/>
      <w:outlineLvl w:val="9"/>
    </w:pPr>
    <w:rPr>
      <w:noProof/>
      <w:sz w:val="24"/>
    </w:rPr>
  </w:style>
  <w:style w:type="paragraph" w:customStyle="1" w:styleId="MiniTOCItem">
    <w:name w:val="MiniTOCItem"/>
    <w:basedOn w:val="ListBullet"/>
    <w:rsid w:val="00385285"/>
    <w:pPr>
      <w:numPr>
        <w:numId w:val="0"/>
      </w:numPr>
      <w:tabs>
        <w:tab w:val="right" w:leader="dot" w:pos="6521"/>
      </w:tabs>
      <w:spacing w:before="0" w:after="0"/>
    </w:pPr>
  </w:style>
  <w:style w:type="paragraph" w:customStyle="1" w:styleId="TOFTitle">
    <w:name w:val="TOFTitle"/>
    <w:basedOn w:val="TOCTitle"/>
    <w:rsid w:val="00385285"/>
  </w:style>
  <w:style w:type="paragraph" w:styleId="TableofFigures">
    <w:name w:val="table of figures"/>
    <w:basedOn w:val="Normal"/>
    <w:next w:val="Normal"/>
    <w:semiHidden/>
    <w:rsid w:val="00385285"/>
    <w:pPr>
      <w:tabs>
        <w:tab w:val="right" w:leader="dot" w:pos="9072"/>
      </w:tabs>
      <w:ind w:left="970" w:hanging="403"/>
    </w:pPr>
    <w:rPr>
      <w:rFonts w:ascii="Times New Roman" w:hAnsi="Times New Roman"/>
      <w:b/>
    </w:rPr>
  </w:style>
  <w:style w:type="paragraph" w:styleId="ListNumber">
    <w:name w:val="List Number"/>
    <w:basedOn w:val="List"/>
    <w:rsid w:val="00385285"/>
    <w:pPr>
      <w:numPr>
        <w:numId w:val="11"/>
      </w:numPr>
    </w:pPr>
  </w:style>
  <w:style w:type="character" w:customStyle="1" w:styleId="WingdingSymbols">
    <w:name w:val="Wingding Symbols"/>
    <w:rsid w:val="00385285"/>
    <w:rPr>
      <w:rFonts w:ascii="Wingdings" w:hAnsi="Wingdings"/>
    </w:rPr>
  </w:style>
  <w:style w:type="paragraph" w:customStyle="1" w:styleId="TableHeading">
    <w:name w:val="Table Heading"/>
    <w:basedOn w:val="HeadingBase"/>
    <w:rsid w:val="00385285"/>
    <w:pPr>
      <w:keepLines/>
      <w:pBdr>
        <w:bottom w:val="single" w:sz="6" w:space="1" w:color="918585"/>
      </w:pBdr>
      <w:spacing w:before="240"/>
    </w:pPr>
  </w:style>
  <w:style w:type="character" w:customStyle="1" w:styleId="HotSpot">
    <w:name w:val="HotSpot"/>
    <w:rsid w:val="00385285"/>
    <w:rPr>
      <w:color w:val="0033CC"/>
      <w:u w:val="none"/>
    </w:rPr>
  </w:style>
  <w:style w:type="paragraph" w:customStyle="1" w:styleId="BodyTextRight">
    <w:name w:val="Body Text Right"/>
    <w:basedOn w:val="BodyText"/>
    <w:rsid w:val="00385285"/>
    <w:pPr>
      <w:spacing w:before="0" w:after="0"/>
      <w:jc w:val="right"/>
    </w:pPr>
  </w:style>
  <w:style w:type="paragraph" w:styleId="Index3">
    <w:name w:val="index 3"/>
    <w:basedOn w:val="ListNumber2"/>
    <w:next w:val="Normal"/>
    <w:semiHidden/>
    <w:rsid w:val="00385285"/>
    <w:pPr>
      <w:numPr>
        <w:numId w:val="0"/>
      </w:numPr>
      <w:tabs>
        <w:tab w:val="right" w:leader="dot" w:pos="4176"/>
      </w:tabs>
    </w:pPr>
  </w:style>
  <w:style w:type="paragraph" w:styleId="ListNumber2">
    <w:name w:val="List Number 2"/>
    <w:basedOn w:val="List2"/>
    <w:rsid w:val="00385285"/>
    <w:pPr>
      <w:numPr>
        <w:numId w:val="10"/>
      </w:numPr>
      <w:tabs>
        <w:tab w:val="clear" w:pos="1060"/>
      </w:tabs>
    </w:pPr>
  </w:style>
  <w:style w:type="paragraph" w:customStyle="1" w:styleId="MarginNote">
    <w:name w:val="Margin Note"/>
    <w:basedOn w:val="BodyText"/>
    <w:rsid w:val="00385285"/>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385285"/>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385285"/>
    <w:rPr>
      <w:rFonts w:ascii="Times New Roman" w:eastAsia="Times New Roman" w:hAnsi="Times New Roman" w:cs="Times New Roman"/>
      <w:b/>
      <w:sz w:val="20"/>
      <w:szCs w:val="20"/>
      <w:lang w:val="en-US" w:eastAsia="en-US"/>
    </w:rPr>
  </w:style>
  <w:style w:type="paragraph" w:customStyle="1" w:styleId="GlossaryHeading">
    <w:name w:val="Glossary Heading"/>
    <w:basedOn w:val="HeadingBase"/>
    <w:rsid w:val="00385285"/>
    <w:rPr>
      <w:sz w:val="32"/>
    </w:rPr>
  </w:style>
  <w:style w:type="paragraph" w:customStyle="1" w:styleId="HeadingProcedure">
    <w:name w:val="Heading Procedure"/>
    <w:basedOn w:val="HeadingBase"/>
    <w:next w:val="Normal"/>
    <w:rsid w:val="00385285"/>
    <w:pPr>
      <w:tabs>
        <w:tab w:val="left" w:pos="0"/>
      </w:tabs>
      <w:spacing w:before="120" w:after="60"/>
    </w:pPr>
    <w:rPr>
      <w:i/>
      <w:color w:val="918585"/>
      <w:sz w:val="22"/>
    </w:rPr>
  </w:style>
  <w:style w:type="paragraph" w:customStyle="1" w:styleId="TableBodyText">
    <w:name w:val="Table Body Text"/>
    <w:basedOn w:val="BodyText"/>
    <w:rsid w:val="00385285"/>
    <w:pPr>
      <w:spacing w:before="60" w:after="60"/>
    </w:pPr>
  </w:style>
  <w:style w:type="paragraph" w:styleId="ListContinue">
    <w:name w:val="List Continue"/>
    <w:basedOn w:val="List"/>
    <w:rsid w:val="00385285"/>
    <w:pPr>
      <w:ind w:firstLine="0"/>
    </w:pPr>
  </w:style>
  <w:style w:type="paragraph" w:customStyle="1" w:styleId="ListNote">
    <w:name w:val="List Note"/>
    <w:basedOn w:val="List"/>
    <w:rsid w:val="00385285"/>
    <w:pPr>
      <w:pBdr>
        <w:top w:val="single" w:sz="6" w:space="2" w:color="918585"/>
        <w:bottom w:val="single" w:sz="6" w:space="2" w:color="918585"/>
      </w:pBdr>
      <w:tabs>
        <w:tab w:val="left" w:pos="1021"/>
      </w:tabs>
      <w:ind w:firstLine="0"/>
    </w:pPr>
  </w:style>
  <w:style w:type="paragraph" w:customStyle="1" w:styleId="Warning">
    <w:name w:val="Warning"/>
    <w:basedOn w:val="BodyText"/>
    <w:rsid w:val="00385285"/>
    <w:pPr>
      <w:shd w:val="clear" w:color="auto" w:fill="D9D9D9"/>
      <w:tabs>
        <w:tab w:val="left" w:pos="992"/>
      </w:tabs>
      <w:ind w:left="119" w:right="119"/>
    </w:pPr>
    <w:rPr>
      <w:sz w:val="20"/>
    </w:rPr>
  </w:style>
  <w:style w:type="paragraph" w:customStyle="1" w:styleId="MarginIcons">
    <w:name w:val="Margin Icons"/>
    <w:basedOn w:val="BodyText"/>
    <w:rsid w:val="00385285"/>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385285"/>
    <w:rPr>
      <w:rFonts w:ascii="Courier New" w:hAnsi="Courier New"/>
    </w:rPr>
  </w:style>
  <w:style w:type="paragraph" w:customStyle="1" w:styleId="NoteBullet">
    <w:name w:val="Note Bullet"/>
    <w:basedOn w:val="Note"/>
    <w:rsid w:val="00385285"/>
    <w:pPr>
      <w:tabs>
        <w:tab w:val="clear" w:pos="680"/>
      </w:tabs>
      <w:spacing w:before="60" w:after="60"/>
    </w:pPr>
  </w:style>
  <w:style w:type="paragraph" w:customStyle="1" w:styleId="SubHeading2">
    <w:name w:val="SubHeading2"/>
    <w:basedOn w:val="HeadingBase"/>
    <w:rsid w:val="00385285"/>
    <w:pPr>
      <w:spacing w:before="240" w:after="60"/>
    </w:pPr>
    <w:rPr>
      <w:sz w:val="20"/>
    </w:rPr>
  </w:style>
  <w:style w:type="paragraph" w:customStyle="1" w:styleId="SubHeading1">
    <w:name w:val="SubHeading1"/>
    <w:basedOn w:val="HeadingBase"/>
    <w:rsid w:val="00385285"/>
    <w:pPr>
      <w:spacing w:before="240" w:after="60"/>
    </w:pPr>
    <w:rPr>
      <w:color w:val="918585"/>
      <w:sz w:val="22"/>
    </w:rPr>
  </w:style>
  <w:style w:type="paragraph" w:customStyle="1" w:styleId="SideHeading">
    <w:name w:val="Side Heading"/>
    <w:basedOn w:val="HeadingBase"/>
    <w:rsid w:val="00385285"/>
    <w:pPr>
      <w:framePr w:w="2268" w:h="567" w:hSpace="181" w:vSpace="181" w:wrap="around" w:vAnchor="text" w:hAnchor="page" w:x="1419" w:y="370" w:anchorLock="1"/>
    </w:pPr>
    <w:rPr>
      <w:sz w:val="22"/>
    </w:rPr>
  </w:style>
  <w:style w:type="paragraph" w:customStyle="1" w:styleId="TableListBullet">
    <w:name w:val="Table List Bullet"/>
    <w:basedOn w:val="ListBullet"/>
    <w:rsid w:val="00385285"/>
    <w:pPr>
      <w:numPr>
        <w:numId w:val="12"/>
      </w:numPr>
    </w:pPr>
  </w:style>
  <w:style w:type="paragraph" w:styleId="PlainText">
    <w:name w:val="Plain Text"/>
    <w:basedOn w:val="Normal"/>
    <w:link w:val="PlainTextChar"/>
    <w:rsid w:val="00385285"/>
    <w:rPr>
      <w:sz w:val="20"/>
    </w:rPr>
  </w:style>
  <w:style w:type="character" w:customStyle="1" w:styleId="PlainTextChar">
    <w:name w:val="Plain Text Char"/>
    <w:basedOn w:val="DefaultParagraphFont"/>
    <w:link w:val="PlainText"/>
    <w:rsid w:val="00385285"/>
    <w:rPr>
      <w:rFonts w:ascii="Courier New" w:eastAsia="Times New Roman" w:hAnsi="Courier New" w:cs="Times New Roman"/>
      <w:sz w:val="20"/>
      <w:szCs w:val="20"/>
      <w:lang w:val="en-US" w:eastAsia="en-US"/>
    </w:rPr>
  </w:style>
  <w:style w:type="character" w:customStyle="1" w:styleId="MenuOption">
    <w:name w:val="Menu Option"/>
    <w:basedOn w:val="DefaultParagraphFont"/>
    <w:rsid w:val="00385285"/>
    <w:rPr>
      <w:b/>
      <w:smallCaps/>
    </w:rPr>
  </w:style>
  <w:style w:type="paragraph" w:customStyle="1" w:styleId="TableListNumber">
    <w:name w:val="Table List Number"/>
    <w:basedOn w:val="ListNumber"/>
    <w:rsid w:val="00385285"/>
    <w:pPr>
      <w:numPr>
        <w:numId w:val="0"/>
      </w:numPr>
    </w:pPr>
  </w:style>
  <w:style w:type="paragraph" w:styleId="TOC4">
    <w:name w:val="toc 4"/>
    <w:basedOn w:val="TOCBase"/>
    <w:next w:val="Normal"/>
    <w:semiHidden/>
    <w:rsid w:val="00385285"/>
    <w:pPr>
      <w:tabs>
        <w:tab w:val="right" w:leader="dot" w:pos="9071"/>
      </w:tabs>
      <w:ind w:left="1701"/>
    </w:pPr>
  </w:style>
  <w:style w:type="paragraph" w:customStyle="1" w:styleId="ListAlpha">
    <w:name w:val="List Alpha"/>
    <w:basedOn w:val="List"/>
    <w:rsid w:val="00385285"/>
    <w:pPr>
      <w:numPr>
        <w:numId w:val="9"/>
      </w:numPr>
    </w:pPr>
  </w:style>
  <w:style w:type="paragraph" w:customStyle="1" w:styleId="ListAlpha2">
    <w:name w:val="List Alpha 2"/>
    <w:basedOn w:val="List2"/>
    <w:rsid w:val="00385285"/>
    <w:pPr>
      <w:numPr>
        <w:numId w:val="8"/>
      </w:numPr>
    </w:pPr>
  </w:style>
  <w:style w:type="paragraph" w:styleId="List3">
    <w:name w:val="List 3"/>
    <w:basedOn w:val="BodyText"/>
    <w:rsid w:val="00385285"/>
    <w:pPr>
      <w:tabs>
        <w:tab w:val="left" w:pos="1021"/>
      </w:tabs>
      <w:spacing w:before="60" w:after="60"/>
      <w:ind w:left="1020" w:hanging="340"/>
    </w:pPr>
  </w:style>
  <w:style w:type="paragraph" w:styleId="List4">
    <w:name w:val="List 4"/>
    <w:basedOn w:val="BodyText"/>
    <w:rsid w:val="00385285"/>
    <w:pPr>
      <w:tabs>
        <w:tab w:val="left" w:pos="1361"/>
      </w:tabs>
      <w:spacing w:before="60" w:after="60"/>
      <w:ind w:left="1361" w:hanging="340"/>
    </w:pPr>
  </w:style>
  <w:style w:type="paragraph" w:styleId="List5">
    <w:name w:val="List 5"/>
    <w:basedOn w:val="BodyText"/>
    <w:rsid w:val="00385285"/>
    <w:pPr>
      <w:tabs>
        <w:tab w:val="left" w:pos="1701"/>
      </w:tabs>
      <w:spacing w:before="60" w:after="60"/>
      <w:ind w:left="1701" w:hanging="340"/>
    </w:pPr>
  </w:style>
  <w:style w:type="paragraph" w:styleId="ListBullet3">
    <w:name w:val="List Bullet 3"/>
    <w:basedOn w:val="List3"/>
    <w:rsid w:val="00385285"/>
    <w:pPr>
      <w:numPr>
        <w:numId w:val="15"/>
      </w:numPr>
      <w:tabs>
        <w:tab w:val="clear" w:pos="1021"/>
      </w:tabs>
      <w:ind w:left="1037" w:hanging="357"/>
    </w:pPr>
  </w:style>
  <w:style w:type="paragraph" w:styleId="ListBullet4">
    <w:name w:val="List Bullet 4"/>
    <w:basedOn w:val="List4"/>
    <w:rsid w:val="00385285"/>
    <w:pPr>
      <w:numPr>
        <w:numId w:val="3"/>
      </w:numPr>
    </w:pPr>
  </w:style>
  <w:style w:type="paragraph" w:styleId="ListBullet5">
    <w:name w:val="List Bullet 5"/>
    <w:basedOn w:val="List5"/>
    <w:rsid w:val="00385285"/>
    <w:pPr>
      <w:numPr>
        <w:numId w:val="4"/>
      </w:numPr>
    </w:pPr>
  </w:style>
  <w:style w:type="paragraph" w:styleId="ListContinue2">
    <w:name w:val="List Continue 2"/>
    <w:basedOn w:val="List2"/>
    <w:rsid w:val="00385285"/>
    <w:pPr>
      <w:ind w:firstLine="0"/>
    </w:pPr>
  </w:style>
  <w:style w:type="paragraph" w:styleId="ListContinue3">
    <w:name w:val="List Continue 3"/>
    <w:basedOn w:val="List3"/>
    <w:rsid w:val="00385285"/>
    <w:pPr>
      <w:ind w:left="1021" w:firstLine="0"/>
    </w:pPr>
  </w:style>
  <w:style w:type="paragraph" w:styleId="ListContinue4">
    <w:name w:val="List Continue 4"/>
    <w:basedOn w:val="List4"/>
    <w:rsid w:val="00385285"/>
    <w:pPr>
      <w:ind w:firstLine="0"/>
    </w:pPr>
  </w:style>
  <w:style w:type="paragraph" w:styleId="ListContinue5">
    <w:name w:val="List Continue 5"/>
    <w:basedOn w:val="List5"/>
    <w:rsid w:val="00385285"/>
    <w:pPr>
      <w:ind w:firstLine="0"/>
    </w:pPr>
  </w:style>
  <w:style w:type="paragraph" w:styleId="ListNumber3">
    <w:name w:val="List Number 3"/>
    <w:basedOn w:val="List3"/>
    <w:rsid w:val="00385285"/>
    <w:pPr>
      <w:numPr>
        <w:numId w:val="5"/>
      </w:numPr>
    </w:pPr>
  </w:style>
  <w:style w:type="paragraph" w:styleId="ListNumber4">
    <w:name w:val="List Number 4"/>
    <w:basedOn w:val="List4"/>
    <w:rsid w:val="00385285"/>
    <w:pPr>
      <w:numPr>
        <w:numId w:val="6"/>
      </w:numPr>
    </w:pPr>
  </w:style>
  <w:style w:type="paragraph" w:styleId="ListNumber5">
    <w:name w:val="List Number 5"/>
    <w:basedOn w:val="List5"/>
    <w:rsid w:val="00385285"/>
    <w:pPr>
      <w:numPr>
        <w:numId w:val="7"/>
      </w:numPr>
    </w:pPr>
  </w:style>
  <w:style w:type="paragraph" w:styleId="BlockText">
    <w:name w:val="Block Text"/>
    <w:basedOn w:val="Normal"/>
    <w:rsid w:val="00385285"/>
    <w:pPr>
      <w:spacing w:after="120"/>
      <w:ind w:left="1440" w:right="1440"/>
    </w:pPr>
  </w:style>
  <w:style w:type="character" w:customStyle="1" w:styleId="Subscript">
    <w:name w:val="Subscript"/>
    <w:basedOn w:val="DefaultParagraphFont"/>
    <w:rsid w:val="00385285"/>
    <w:rPr>
      <w:sz w:val="16"/>
      <w:vertAlign w:val="subscript"/>
    </w:rPr>
  </w:style>
  <w:style w:type="character" w:customStyle="1" w:styleId="Superscript">
    <w:name w:val="Superscript"/>
    <w:basedOn w:val="DefaultParagraphFont"/>
    <w:rsid w:val="00385285"/>
    <w:rPr>
      <w:sz w:val="16"/>
      <w:vertAlign w:val="superscript"/>
    </w:rPr>
  </w:style>
  <w:style w:type="character" w:customStyle="1" w:styleId="Symbols">
    <w:name w:val="Symbols"/>
    <w:basedOn w:val="DefaultParagraphFont"/>
    <w:rsid w:val="00385285"/>
    <w:rPr>
      <w:rFonts w:ascii="Symbol" w:hAnsi="Symbol"/>
    </w:rPr>
  </w:style>
  <w:style w:type="character" w:customStyle="1" w:styleId="MenuOptions">
    <w:name w:val="Menu Options"/>
    <w:basedOn w:val="DefaultParagraphFont"/>
    <w:rsid w:val="00385285"/>
    <w:rPr>
      <w:rFonts w:ascii="Arial Narrow" w:hAnsi="Arial Narrow"/>
      <w:smallCaps/>
    </w:rPr>
  </w:style>
  <w:style w:type="character" w:customStyle="1" w:styleId="Buttons">
    <w:name w:val="Buttons"/>
    <w:basedOn w:val="DefaultParagraphFont"/>
    <w:rsid w:val="00385285"/>
    <w:rPr>
      <w:b/>
    </w:rPr>
  </w:style>
  <w:style w:type="character" w:customStyle="1" w:styleId="Underlined">
    <w:name w:val="Underlined"/>
    <w:basedOn w:val="DefaultParagraphFont"/>
    <w:rsid w:val="00385285"/>
    <w:rPr>
      <w:u w:val="single"/>
    </w:rPr>
  </w:style>
  <w:style w:type="paragraph" w:customStyle="1" w:styleId="TableBodyTextRight">
    <w:name w:val="Table Body Text Right"/>
    <w:basedOn w:val="TableBodyText"/>
    <w:rsid w:val="00385285"/>
    <w:pPr>
      <w:widowControl w:val="0"/>
      <w:autoSpaceDE w:val="0"/>
      <w:autoSpaceDN w:val="0"/>
      <w:adjustRightInd w:val="0"/>
      <w:jc w:val="right"/>
    </w:pPr>
    <w:rPr>
      <w:rFonts w:cs="Arial"/>
      <w:szCs w:val="18"/>
    </w:rPr>
  </w:style>
  <w:style w:type="paragraph" w:customStyle="1" w:styleId="CopyrightText">
    <w:name w:val="Copyright Text"/>
    <w:basedOn w:val="BodyText"/>
    <w:rsid w:val="00385285"/>
    <w:rPr>
      <w:sz w:val="18"/>
    </w:rPr>
  </w:style>
  <w:style w:type="paragraph" w:customStyle="1" w:styleId="BodySmallRight">
    <w:name w:val="Body Small Right"/>
    <w:basedOn w:val="BodyTextRight"/>
    <w:rsid w:val="00385285"/>
    <w:rPr>
      <w:sz w:val="18"/>
      <w:szCs w:val="18"/>
    </w:rPr>
  </w:style>
  <w:style w:type="paragraph" w:customStyle="1" w:styleId="MarginEdition">
    <w:name w:val="Margin Edition"/>
    <w:basedOn w:val="MarginNote"/>
    <w:rsid w:val="00385285"/>
    <w:pPr>
      <w:spacing w:before="0" w:after="0"/>
    </w:pPr>
    <w:rPr>
      <w:rFonts w:ascii="Times New Roman" w:hAnsi="Times New Roman"/>
      <w:color w:val="999999"/>
    </w:rPr>
  </w:style>
  <w:style w:type="paragraph" w:customStyle="1" w:styleId="Spacer">
    <w:name w:val="Spacer"/>
    <w:basedOn w:val="Normal"/>
    <w:rsid w:val="00385285"/>
    <w:rPr>
      <w:sz w:val="2"/>
      <w:szCs w:val="2"/>
    </w:rPr>
  </w:style>
  <w:style w:type="character" w:customStyle="1" w:styleId="Small">
    <w:name w:val="Small"/>
    <w:basedOn w:val="DefaultParagraphFont"/>
    <w:rsid w:val="00385285"/>
    <w:rPr>
      <w:sz w:val="16"/>
    </w:rPr>
  </w:style>
  <w:style w:type="paragraph" w:customStyle="1" w:styleId="WideTable">
    <w:name w:val="Wide Table"/>
    <w:basedOn w:val="Normal"/>
    <w:rsid w:val="00385285"/>
    <w:pPr>
      <w:ind w:left="-1418"/>
    </w:pPr>
    <w:rPr>
      <w:sz w:val="2"/>
      <w:szCs w:val="2"/>
    </w:rPr>
  </w:style>
  <w:style w:type="character" w:styleId="PageNumber">
    <w:name w:val="page number"/>
    <w:basedOn w:val="DefaultParagraphFont"/>
    <w:rsid w:val="00385285"/>
  </w:style>
  <w:style w:type="paragraph" w:styleId="Quote">
    <w:name w:val="Quote"/>
    <w:basedOn w:val="Heading1"/>
    <w:link w:val="QuoteChar"/>
    <w:qFormat/>
    <w:rsid w:val="00385285"/>
    <w:rPr>
      <w:b w:val="0"/>
      <w:sz w:val="72"/>
      <w:szCs w:val="72"/>
      <w:lang w:val="en-NZ"/>
    </w:rPr>
  </w:style>
  <w:style w:type="character" w:customStyle="1" w:styleId="QuoteChar">
    <w:name w:val="Quote Char"/>
    <w:basedOn w:val="DefaultParagraphFont"/>
    <w:link w:val="Quote"/>
    <w:rsid w:val="00385285"/>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385285"/>
    <w:pPr>
      <w:pageBreakBefore/>
    </w:pPr>
  </w:style>
  <w:style w:type="paragraph" w:customStyle="1" w:styleId="Border">
    <w:name w:val="Border"/>
    <w:basedOn w:val="Normal"/>
    <w:qFormat/>
    <w:rsid w:val="00385285"/>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385285"/>
    <w:rPr>
      <w:b/>
      <w:bCs/>
      <w:i/>
      <w:iCs/>
      <w:color w:val="auto"/>
    </w:rPr>
  </w:style>
  <w:style w:type="paragraph" w:styleId="IntenseQuote">
    <w:name w:val="Intense Quote"/>
    <w:basedOn w:val="Normal"/>
    <w:next w:val="Normal"/>
    <w:link w:val="IntenseQuoteChar"/>
    <w:uiPriority w:val="30"/>
    <w:qFormat/>
    <w:rsid w:val="0038528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385285"/>
    <w:rPr>
      <w:rFonts w:ascii="Courier New" w:eastAsia="Times New Roman" w:hAnsi="Courier New" w:cs="Times New Roman"/>
      <w:b/>
      <w:bCs/>
      <w:i/>
      <w:iCs/>
      <w:szCs w:val="20"/>
      <w:lang w:val="en-US" w:eastAsia="en-US"/>
    </w:rPr>
  </w:style>
  <w:style w:type="character" w:styleId="SubtleReference">
    <w:name w:val="Subtle Reference"/>
    <w:basedOn w:val="DefaultParagraphFont"/>
    <w:uiPriority w:val="31"/>
    <w:qFormat/>
    <w:rsid w:val="00385285"/>
    <w:rPr>
      <w:smallCaps/>
      <w:color w:val="auto"/>
      <w:u w:val="single"/>
    </w:rPr>
  </w:style>
  <w:style w:type="character" w:styleId="IntenseReference">
    <w:name w:val="Intense Reference"/>
    <w:basedOn w:val="DefaultParagraphFont"/>
    <w:uiPriority w:val="32"/>
    <w:qFormat/>
    <w:rsid w:val="00385285"/>
    <w:rPr>
      <w:b/>
      <w:bCs/>
      <w:smallCaps/>
      <w:color w:val="auto"/>
      <w:spacing w:val="5"/>
      <w:u w:val="single"/>
    </w:rPr>
  </w:style>
  <w:style w:type="paragraph" w:customStyle="1" w:styleId="2ColumnHeading">
    <w:name w:val="2Column Heading"/>
    <w:basedOn w:val="BodyText"/>
    <w:qFormat/>
    <w:rsid w:val="00385285"/>
    <w:pPr>
      <w:spacing w:after="60"/>
      <w:ind w:left="-2268"/>
    </w:pPr>
    <w:rPr>
      <w:b/>
    </w:rPr>
  </w:style>
  <w:style w:type="paragraph" w:customStyle="1" w:styleId="Heading1TOC">
    <w:name w:val="Heading1 TOC"/>
    <w:basedOn w:val="Normal"/>
    <w:qFormat/>
    <w:rsid w:val="00385285"/>
    <w:pPr>
      <w:spacing w:before="240" w:after="120"/>
    </w:pPr>
    <w:rPr>
      <w:rFonts w:ascii="Times New Roman" w:hAnsi="Times New Roman"/>
      <w:b/>
      <w:sz w:val="32"/>
    </w:rPr>
  </w:style>
  <w:style w:type="paragraph" w:customStyle="1" w:styleId="Heading2TOC">
    <w:name w:val="Heading2 TOC"/>
    <w:basedOn w:val="Normal"/>
    <w:qFormat/>
    <w:rsid w:val="00385285"/>
    <w:pPr>
      <w:spacing w:before="240" w:after="60"/>
    </w:pPr>
    <w:rPr>
      <w:rFonts w:ascii="Times New Roman" w:hAnsi="Times New Roman"/>
      <w:b/>
      <w:sz w:val="28"/>
    </w:rPr>
  </w:style>
  <w:style w:type="character" w:customStyle="1" w:styleId="Underline">
    <w:name w:val="Underline"/>
    <w:basedOn w:val="DefaultParagraphFont"/>
    <w:qFormat/>
    <w:rsid w:val="00385285"/>
    <w:rPr>
      <w:u w:val="single"/>
    </w:rPr>
  </w:style>
  <w:style w:type="paragraph" w:styleId="BalloonText">
    <w:name w:val="Balloon Text"/>
    <w:basedOn w:val="Normal"/>
    <w:link w:val="BalloonTextChar"/>
    <w:rsid w:val="00385285"/>
    <w:rPr>
      <w:rFonts w:ascii="Tahoma" w:hAnsi="Tahoma" w:cs="Tahoma"/>
      <w:sz w:val="16"/>
      <w:szCs w:val="16"/>
    </w:rPr>
  </w:style>
  <w:style w:type="character" w:customStyle="1" w:styleId="BalloonTextChar">
    <w:name w:val="Balloon Text Char"/>
    <w:basedOn w:val="DefaultParagraphFont"/>
    <w:link w:val="BalloonText"/>
    <w:rsid w:val="00385285"/>
    <w:rPr>
      <w:rFonts w:ascii="Tahoma" w:eastAsia="Times New Roman" w:hAnsi="Tahoma" w:cs="Tahoma"/>
      <w:sz w:val="16"/>
      <w:szCs w:val="16"/>
      <w:lang w:val="en-US" w:eastAsia="en-US"/>
    </w:rPr>
  </w:style>
  <w:style w:type="paragraph" w:styleId="BodyTextFirstIndent">
    <w:name w:val="Body Text First Indent"/>
    <w:basedOn w:val="BodyText"/>
    <w:link w:val="BodyTextFirstIndentChar"/>
    <w:rsid w:val="00385285"/>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385285"/>
    <w:rPr>
      <w:rFonts w:ascii="Courier New" w:eastAsia="Times New Roman" w:hAnsi="Courier New"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CPCCCM2010A Work safely at heights</vt:lpstr>
    </vt:vector>
  </TitlesOfParts>
  <Company>Author-it Software Corporation Ltd.</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CPCCCM2010A Work safely at heights</dc:title>
  <dc:subject>Approved</dc:subject>
  <dc:creator>Construction &amp; Property Services Industry Skills Council</dc:creator>
  <cp:keywords>Release: 1</cp:keywords>
  <dc:description>Copyright © 1996-2007 Author-it Software Corporation Ltd., all rights reserved.</dc:description>
  <cp:lastModifiedBy>Steve Hex Core</cp:lastModifiedBy>
  <cp:revision>5</cp:revision>
  <dcterms:created xsi:type="dcterms:W3CDTF">2012-05-26T05:25:00Z</dcterms:created>
  <dcterms:modified xsi:type="dcterms:W3CDTF">2012-12-03T05:06:00Z</dcterms:modified>
</cp:coreProperties>
</file>