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30E5" w:rsidRDefault="00BF30E5" w:rsidP="00BF30E5">
      <w:pPr>
        <w:pStyle w:val="Title"/>
      </w:pPr>
      <w:r>
        <w:fldChar w:fldCharType="begin"/>
      </w:r>
      <w:r>
        <w:instrText xml:space="preserve"> TITLE   \* MERGEFORMAT </w:instrText>
      </w:r>
      <w:r>
        <w:fldChar w:fldCharType="separate"/>
      </w:r>
      <w:r>
        <w:t>CPCCBC4011B Apply structural principles to commercial low rise constructions</w:t>
      </w:r>
      <w:r>
        <w:fldChar w:fldCharType="end"/>
      </w:r>
    </w:p>
    <w:p w:rsidR="00BF30E5" w:rsidRDefault="00BF30E5" w:rsidP="00BF30E5">
      <w:pPr>
        <w:pStyle w:val="Version"/>
        <w:sectPr w:rsidR="00BF30E5" w:rsidSect="00247CDA">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247CDA" w:rsidRDefault="00BF30E5" w:rsidP="00247CDA">
      <w:pPr>
        <w:pStyle w:val="SuperHeading"/>
      </w:pPr>
      <w:r w:rsidRPr="00247CDA">
        <w:lastRenderedPageBreak/>
        <w:t>CPCCBC4011B Apply structural principles to commercial low rise constructions</w:t>
      </w:r>
    </w:p>
    <w:p w:rsidR="00000000" w:rsidRPr="00247CDA" w:rsidRDefault="00BF30E5" w:rsidP="00247CDA">
      <w:pPr>
        <w:pStyle w:val="Heading1"/>
      </w:pPr>
      <w:bookmarkStart w:id="1" w:name="O_269408"/>
      <w:bookmarkEnd w:id="1"/>
      <w:r w:rsidRPr="00247CDA">
        <w:t>Modification History</w:t>
      </w:r>
    </w:p>
    <w:p w:rsidR="00000000" w:rsidRPr="00247CDA" w:rsidRDefault="00BF30E5" w:rsidP="00247CDA">
      <w:pPr>
        <w:pStyle w:val="BodyText"/>
      </w:pPr>
      <w:r w:rsidRPr="00247CDA">
        <w:t>Not Applicable</w:t>
      </w:r>
    </w:p>
    <w:p w:rsidR="00000000" w:rsidRPr="00247CDA" w:rsidRDefault="00BF30E5" w:rsidP="00247CDA">
      <w:pPr>
        <w:pStyle w:val="AllowPageBreak"/>
      </w:pPr>
    </w:p>
    <w:p w:rsidR="00000000" w:rsidRPr="00247CDA" w:rsidRDefault="00BF30E5" w:rsidP="00247CDA">
      <w:pPr>
        <w:pStyle w:val="Heading1"/>
      </w:pPr>
      <w:bookmarkStart w:id="2" w:name="O_196716"/>
      <w:bookmarkEnd w:id="2"/>
      <w:r w:rsidRPr="00247CDA">
        <w:t>Unit Descriptor</w:t>
      </w:r>
    </w:p>
    <w:tbl>
      <w:tblPr>
        <w:tblW w:w="0" w:type="auto"/>
        <w:tblLayout w:type="fixed"/>
        <w:tblCellMar>
          <w:left w:w="62" w:type="dxa"/>
          <w:right w:w="62" w:type="dxa"/>
        </w:tblCellMar>
        <w:tblLook w:val="0000" w:firstRow="0" w:lastRow="0" w:firstColumn="0" w:lastColumn="0" w:noHBand="0" w:noVBand="0"/>
      </w:tblPr>
      <w:tblGrid>
        <w:gridCol w:w="2628"/>
        <w:gridCol w:w="5894"/>
      </w:tblGrid>
      <w:tr w:rsidR="00000000" w:rsidRPr="00247CDA" w:rsidTr="00BF30E5">
        <w:tc>
          <w:tcPr>
            <w:tcW w:w="2628"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Unit</w:t>
            </w:r>
            <w:r w:rsidRPr="00247CDA">
              <w:rPr>
                <w:rStyle w:val="SpecialBold"/>
              </w:rPr>
              <w:t xml:space="preserve"> descriptor</w:t>
            </w:r>
          </w:p>
        </w:tc>
        <w:tc>
          <w:tcPr>
            <w:tcW w:w="5894" w:type="dxa"/>
            <w:tcBorders>
              <w:top w:val="nil"/>
              <w:left w:val="nil"/>
              <w:bottom w:val="nil"/>
              <w:right w:val="nil"/>
            </w:tcBorders>
            <w:tcMar>
              <w:top w:w="0" w:type="dxa"/>
              <w:left w:w="62" w:type="dxa"/>
              <w:bottom w:w="0" w:type="dxa"/>
              <w:right w:w="62" w:type="dxa"/>
            </w:tcMar>
          </w:tcPr>
          <w:p w:rsidR="00000000" w:rsidRPr="00247CDA" w:rsidRDefault="00BF30E5" w:rsidP="00247CDA">
            <w:pPr>
              <w:pStyle w:val="BodyText"/>
            </w:pPr>
            <w:r w:rsidRPr="00247CDA">
              <w:t>This unit of competency specifies the outcomes required to apply structural principles to the erection or demolition of low rise projects of a more complex nature than single residential dwellings, which are typically commercial structures clas</w:t>
            </w:r>
            <w:r w:rsidRPr="00247CDA">
              <w:t xml:space="preserve">sified in the Building Code of Australia (BCA) as Classes 2 to 9 with a gross floor area not exceeding 2000 square metres but not including Type A or Type B construction. </w:t>
            </w:r>
          </w:p>
          <w:p w:rsidR="00000000" w:rsidRPr="00247CDA" w:rsidRDefault="00BF30E5" w:rsidP="00247CDA">
            <w:pPr>
              <w:pStyle w:val="BodyText"/>
            </w:pPr>
            <w:r w:rsidRPr="00247CDA">
              <w:t xml:space="preserve">Knowledge of the application of structural principles in accordance with Australian </w:t>
            </w:r>
            <w:r w:rsidRPr="00247CDA">
              <w:t>standards is essential.</w:t>
            </w:r>
          </w:p>
        </w:tc>
      </w:tr>
    </w:tbl>
    <w:p w:rsidR="00BF30E5" w:rsidRDefault="00BF30E5" w:rsidP="00247CDA">
      <w:pPr>
        <w:pStyle w:val="BodyText"/>
      </w:pPr>
    </w:p>
    <w:p w:rsidR="00BF30E5" w:rsidRDefault="00BF30E5" w:rsidP="00247CDA">
      <w:pPr>
        <w:pStyle w:val="BodyText"/>
      </w:pPr>
    </w:p>
    <w:p w:rsidR="00000000" w:rsidRPr="00247CDA" w:rsidRDefault="00BF30E5" w:rsidP="00247CDA">
      <w:pPr>
        <w:pStyle w:val="Heading1"/>
      </w:pPr>
      <w:bookmarkStart w:id="3" w:name="O_196720"/>
      <w:bookmarkEnd w:id="3"/>
      <w:r w:rsidRPr="00247CDA">
        <w:t>Application of the Unit</w:t>
      </w:r>
    </w:p>
    <w:tbl>
      <w:tblPr>
        <w:tblW w:w="0" w:type="auto"/>
        <w:tblLayout w:type="fixed"/>
        <w:tblCellMar>
          <w:left w:w="62" w:type="dxa"/>
          <w:right w:w="62" w:type="dxa"/>
        </w:tblCellMar>
        <w:tblLook w:val="0000" w:firstRow="0" w:lastRow="0" w:firstColumn="0" w:lastColumn="0" w:noHBand="0" w:noVBand="0"/>
      </w:tblPr>
      <w:tblGrid>
        <w:gridCol w:w="2730"/>
        <w:gridCol w:w="5792"/>
      </w:tblGrid>
      <w:tr w:rsidR="00000000" w:rsidRPr="00247CDA" w:rsidTr="00BF30E5">
        <w:trPr>
          <w:tblHeader/>
        </w:trPr>
        <w:tc>
          <w:tcPr>
            <w:tcW w:w="2730"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Application of the unit</w:t>
            </w:r>
          </w:p>
        </w:tc>
        <w:tc>
          <w:tcPr>
            <w:tcW w:w="5792" w:type="dxa"/>
            <w:tcBorders>
              <w:top w:val="nil"/>
              <w:left w:val="nil"/>
              <w:bottom w:val="nil"/>
              <w:right w:val="nil"/>
            </w:tcBorders>
            <w:tcMar>
              <w:top w:w="0" w:type="dxa"/>
              <w:left w:w="62" w:type="dxa"/>
              <w:bottom w:w="0" w:type="dxa"/>
              <w:right w:w="62" w:type="dxa"/>
            </w:tcMar>
          </w:tcPr>
          <w:p w:rsidR="00000000" w:rsidRPr="00247CDA" w:rsidRDefault="00BF30E5" w:rsidP="00247CDA">
            <w:pPr>
              <w:pStyle w:val="BodyText"/>
            </w:pPr>
            <w:r w:rsidRPr="00247CDA">
              <w:t xml:space="preserve">This unit of competency supports the needs of builders, site managers, forepersons and other managers in the building and construction industry </w:t>
            </w:r>
            <w:r w:rsidRPr="00247CDA">
              <w:t xml:space="preserve">responsible for overseeing and managing the erection or demolition of low rise structures. </w:t>
            </w:r>
          </w:p>
        </w:tc>
      </w:tr>
    </w:tbl>
    <w:p w:rsidR="00BF30E5" w:rsidRDefault="00BF30E5" w:rsidP="00247CDA">
      <w:pPr>
        <w:pStyle w:val="BodyText"/>
      </w:pPr>
    </w:p>
    <w:p w:rsidR="00BF30E5" w:rsidRDefault="00BF30E5" w:rsidP="00247CDA">
      <w:pPr>
        <w:pStyle w:val="BodyText"/>
      </w:pPr>
    </w:p>
    <w:p w:rsidR="00000000" w:rsidRPr="00247CDA" w:rsidRDefault="00BF30E5" w:rsidP="00247CDA">
      <w:pPr>
        <w:pStyle w:val="Heading1"/>
      </w:pPr>
      <w:bookmarkStart w:id="4" w:name="O_277668"/>
      <w:bookmarkEnd w:id="4"/>
      <w:r w:rsidRPr="00247CDA">
        <w:t>Licensing/Regulatory Information</w:t>
      </w:r>
    </w:p>
    <w:p w:rsidR="00000000" w:rsidRPr="00247CDA" w:rsidRDefault="00BF30E5" w:rsidP="00247CDA">
      <w:pPr>
        <w:pStyle w:val="BodyText"/>
      </w:pPr>
      <w:r w:rsidRPr="00247CDA">
        <w:t>Not Applicable</w:t>
      </w:r>
    </w:p>
    <w:p w:rsidR="00000000" w:rsidRPr="00247CDA" w:rsidRDefault="00BF30E5" w:rsidP="00247CDA">
      <w:pPr>
        <w:pStyle w:val="AllowPageBreak"/>
      </w:pPr>
    </w:p>
    <w:p w:rsidR="00000000" w:rsidRPr="00247CDA" w:rsidRDefault="00BF30E5" w:rsidP="00247CDA">
      <w:pPr>
        <w:pStyle w:val="Heading1"/>
      </w:pPr>
      <w:bookmarkStart w:id="5" w:name="O_196718"/>
      <w:bookmarkEnd w:id="5"/>
      <w:r w:rsidRPr="00247CDA">
        <w:lastRenderedPageBreak/>
        <w:t>Pre-Requisites</w:t>
      </w:r>
    </w:p>
    <w:tbl>
      <w:tblPr>
        <w:tblW w:w="0" w:type="auto"/>
        <w:tblLayout w:type="fixed"/>
        <w:tblCellMar>
          <w:left w:w="62" w:type="dxa"/>
          <w:right w:w="62" w:type="dxa"/>
        </w:tblCellMar>
        <w:tblLook w:val="0000" w:firstRow="0" w:lastRow="0" w:firstColumn="0" w:lastColumn="0" w:noHBand="0" w:noVBand="0"/>
      </w:tblPr>
      <w:tblGrid>
        <w:gridCol w:w="2740"/>
        <w:gridCol w:w="5782"/>
      </w:tblGrid>
      <w:tr w:rsidR="00000000" w:rsidRPr="00247CDA" w:rsidTr="00BF30E5">
        <w:trPr>
          <w:tblHeader/>
        </w:trPr>
        <w:tc>
          <w:tcPr>
            <w:tcW w:w="2740"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Prerequisite units</w:t>
            </w:r>
          </w:p>
        </w:tc>
        <w:tc>
          <w:tcPr>
            <w:tcW w:w="5782" w:type="dxa"/>
            <w:tcBorders>
              <w:top w:val="nil"/>
              <w:left w:val="nil"/>
              <w:bottom w:val="nil"/>
              <w:right w:val="nil"/>
            </w:tcBorders>
            <w:tcMar>
              <w:top w:w="0" w:type="dxa"/>
              <w:left w:w="62" w:type="dxa"/>
              <w:bottom w:w="0" w:type="dxa"/>
              <w:right w:w="62" w:type="dxa"/>
            </w:tcMar>
          </w:tcPr>
          <w:p w:rsidR="00000000" w:rsidRPr="00247CDA" w:rsidRDefault="00BF30E5" w:rsidP="00247CDA">
            <w:pPr>
              <w:pStyle w:val="BodyText"/>
            </w:pPr>
            <w:r w:rsidRPr="00247CDA">
              <w:t>Nil</w:t>
            </w:r>
          </w:p>
        </w:tc>
      </w:tr>
    </w:tbl>
    <w:p w:rsidR="00BF30E5" w:rsidRDefault="00BF30E5" w:rsidP="00247CDA">
      <w:pPr>
        <w:pStyle w:val="BodyText"/>
      </w:pPr>
    </w:p>
    <w:p w:rsidR="00BF30E5" w:rsidRDefault="00BF30E5" w:rsidP="00247CDA">
      <w:pPr>
        <w:pStyle w:val="BodyText"/>
      </w:pPr>
    </w:p>
    <w:p w:rsidR="00000000" w:rsidRPr="00247CDA" w:rsidRDefault="00BF30E5" w:rsidP="00247CDA">
      <w:pPr>
        <w:pStyle w:val="Heading1"/>
      </w:pPr>
      <w:bookmarkStart w:id="6" w:name="O_196717"/>
      <w:bookmarkEnd w:id="6"/>
      <w:r w:rsidRPr="00247CDA">
        <w:t>Employability Skills Information</w:t>
      </w:r>
    </w:p>
    <w:tbl>
      <w:tblPr>
        <w:tblW w:w="0" w:type="auto"/>
        <w:tblLayout w:type="fixed"/>
        <w:tblCellMar>
          <w:left w:w="62" w:type="dxa"/>
          <w:right w:w="62" w:type="dxa"/>
        </w:tblCellMar>
        <w:tblLook w:val="0000" w:firstRow="0" w:lastRow="0" w:firstColumn="0" w:lastColumn="0" w:noHBand="0" w:noVBand="0"/>
      </w:tblPr>
      <w:tblGrid>
        <w:gridCol w:w="2773"/>
        <w:gridCol w:w="5749"/>
      </w:tblGrid>
      <w:tr w:rsidR="00000000" w:rsidRPr="00247CDA" w:rsidTr="00BF30E5">
        <w:trPr>
          <w:tblHeader/>
        </w:trPr>
        <w:tc>
          <w:tcPr>
            <w:tcW w:w="2773"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Employability skills</w:t>
            </w:r>
          </w:p>
        </w:tc>
        <w:tc>
          <w:tcPr>
            <w:tcW w:w="5749" w:type="dxa"/>
            <w:tcBorders>
              <w:top w:val="nil"/>
              <w:left w:val="nil"/>
              <w:bottom w:val="nil"/>
              <w:right w:val="nil"/>
            </w:tcBorders>
            <w:tcMar>
              <w:top w:w="0" w:type="dxa"/>
              <w:left w:w="62" w:type="dxa"/>
              <w:bottom w:w="0" w:type="dxa"/>
              <w:right w:w="62" w:type="dxa"/>
            </w:tcMar>
          </w:tcPr>
          <w:p w:rsidR="00000000" w:rsidRPr="00247CDA" w:rsidRDefault="00BF30E5" w:rsidP="00247CDA">
            <w:pPr>
              <w:pStyle w:val="BodyText"/>
            </w:pPr>
            <w:r w:rsidRPr="00247CDA">
              <w:t>This unit contains employability skills.</w:t>
            </w:r>
          </w:p>
        </w:tc>
      </w:tr>
    </w:tbl>
    <w:p w:rsidR="00BF30E5" w:rsidRDefault="00BF30E5" w:rsidP="00247CDA">
      <w:pPr>
        <w:pStyle w:val="BodyText"/>
      </w:pPr>
    </w:p>
    <w:p w:rsidR="00BF30E5" w:rsidRDefault="00BF30E5" w:rsidP="00247CDA">
      <w:pPr>
        <w:pStyle w:val="BodyText"/>
      </w:pPr>
    </w:p>
    <w:p w:rsidR="00000000" w:rsidRPr="00247CDA" w:rsidRDefault="00BF30E5" w:rsidP="00247CDA">
      <w:pPr>
        <w:pStyle w:val="Heading1"/>
      </w:pPr>
      <w:bookmarkStart w:id="7" w:name="O_287454"/>
      <w:bookmarkEnd w:id="7"/>
      <w:r w:rsidRPr="00247CDA">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567"/>
        <w:gridCol w:w="5955"/>
      </w:tblGrid>
      <w:tr w:rsidR="00000000" w:rsidRPr="00247CDA" w:rsidTr="00BF30E5">
        <w:tc>
          <w:tcPr>
            <w:tcW w:w="2567" w:type="dxa"/>
            <w:tcBorders>
              <w:top w:val="single" w:sz="6" w:space="0" w:color="auto"/>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t>Elements describe the essential outcomes of a unit of competency.</w:t>
            </w:r>
          </w:p>
        </w:tc>
        <w:tc>
          <w:tcPr>
            <w:tcW w:w="5955" w:type="dxa"/>
            <w:tcBorders>
              <w:top w:val="single" w:sz="6" w:space="0" w:color="auto"/>
              <w:left w:val="nil"/>
              <w:bottom w:val="nil"/>
              <w:right w:val="nil"/>
            </w:tcBorders>
            <w:tcMar>
              <w:top w:w="0" w:type="dxa"/>
              <w:left w:w="62" w:type="dxa"/>
              <w:bottom w:w="0" w:type="dxa"/>
              <w:right w:w="62" w:type="dxa"/>
            </w:tcMar>
          </w:tcPr>
          <w:p w:rsidR="00000000" w:rsidRPr="00247CDA" w:rsidRDefault="00BF30E5" w:rsidP="00247CDA">
            <w:pPr>
              <w:pStyle w:val="BodyText"/>
            </w:pPr>
            <w:r w:rsidRPr="00247CDA">
              <w:t>Performance criteria describe</w:t>
            </w:r>
            <w:r w:rsidRPr="00247CDA">
              <w:t xml:space="preserve"> the performance needed to demonstrate achievement of the element. Where bold italicised text is used, further information is detailed in the required skills and knowledge section and the range statement. Assessment of performance is to be consistent with </w:t>
            </w:r>
            <w:r w:rsidRPr="00247CDA">
              <w:t>the evidence guide.</w:t>
            </w:r>
          </w:p>
        </w:tc>
      </w:tr>
    </w:tbl>
    <w:p w:rsidR="00000000" w:rsidRPr="00247CDA" w:rsidRDefault="00BF30E5" w:rsidP="00247CDA">
      <w:pPr>
        <w:pStyle w:val="BodyText"/>
      </w:pPr>
    </w:p>
    <w:p w:rsidR="00000000" w:rsidRPr="00247CDA" w:rsidRDefault="00BF30E5" w:rsidP="00247CDA">
      <w:pPr>
        <w:pStyle w:val="AllowPageBreak"/>
      </w:pPr>
    </w:p>
    <w:p w:rsidR="00000000" w:rsidRPr="00247CDA" w:rsidRDefault="00BF30E5" w:rsidP="00247CDA">
      <w:pPr>
        <w:pStyle w:val="Heading1"/>
      </w:pPr>
      <w:bookmarkStart w:id="8" w:name="O_234121"/>
      <w:bookmarkEnd w:id="8"/>
      <w:r w:rsidRPr="00247CDA">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2567"/>
        <w:gridCol w:w="5955"/>
      </w:tblGrid>
      <w:tr w:rsidR="00000000" w:rsidTr="00BF30E5">
        <w:trPr>
          <w:tblHeader/>
        </w:trPr>
        <w:tc>
          <w:tcPr>
            <w:tcW w:w="2567" w:type="dxa"/>
            <w:tcBorders>
              <w:top w:val="nil"/>
              <w:left w:val="nil"/>
              <w:bottom w:val="single" w:sz="6" w:space="0" w:color="auto"/>
              <w:right w:val="nil"/>
            </w:tcBorders>
            <w:tcMar>
              <w:top w:w="0" w:type="dxa"/>
              <w:left w:w="62" w:type="dxa"/>
              <w:bottom w:w="0" w:type="dxa"/>
              <w:right w:w="62" w:type="dxa"/>
            </w:tcMar>
          </w:tcPr>
          <w:p w:rsidR="00000000" w:rsidRPr="00247CDA" w:rsidRDefault="00BF30E5" w:rsidP="00247CDA">
            <w:pPr>
              <w:pStyle w:val="BodyText"/>
            </w:pPr>
            <w:r w:rsidRPr="00247CDA">
              <w:rPr>
                <w:rStyle w:val="SpecialBold"/>
              </w:rPr>
              <w:t>ELEMENT</w:t>
            </w:r>
          </w:p>
        </w:tc>
        <w:tc>
          <w:tcPr>
            <w:tcW w:w="5955" w:type="dxa"/>
            <w:tcBorders>
              <w:top w:val="nil"/>
              <w:left w:val="nil"/>
              <w:bottom w:val="single" w:sz="6" w:space="0" w:color="auto"/>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PERFORMANCE CRITERIA</w:t>
            </w:r>
          </w:p>
        </w:tc>
      </w:tr>
      <w:tr w:rsidR="00000000" w:rsidTr="00BF30E5">
        <w:tc>
          <w:tcPr>
            <w:tcW w:w="2567" w:type="dxa"/>
            <w:tcBorders>
              <w:top w:val="nil"/>
              <w:left w:val="nil"/>
              <w:bottom w:val="nil"/>
              <w:right w:val="nil"/>
            </w:tcBorders>
            <w:tcMar>
              <w:top w:w="0" w:type="dxa"/>
              <w:left w:w="62" w:type="dxa"/>
              <w:bottom w:w="0" w:type="dxa"/>
              <w:right w:w="62" w:type="dxa"/>
            </w:tcMar>
          </w:tcPr>
          <w:p w:rsidR="00000000" w:rsidRDefault="00BF30E5" w:rsidP="00247CDA">
            <w:pPr>
              <w:pStyle w:val="List"/>
              <w:rPr>
                <w:lang w:val="en-NZ"/>
              </w:rPr>
            </w:pPr>
            <w:r w:rsidRPr="00247CDA">
              <w:t>1.</w:t>
            </w:r>
            <w:r w:rsidRPr="00247CDA">
              <w:tab/>
              <w:t>Apply structural principles to the planning of the erection or demolition of a structure.</w:t>
            </w:r>
          </w:p>
        </w:tc>
        <w:tc>
          <w:tcPr>
            <w:tcW w:w="5955"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2"/>
            </w:pPr>
            <w:r w:rsidRPr="00247CDA">
              <w:t>1.1.</w:t>
            </w:r>
            <w:r w:rsidRPr="00247CDA">
              <w:tab/>
              <w:t xml:space="preserve">Main </w:t>
            </w:r>
            <w:r w:rsidRPr="00247CDA">
              <w:rPr>
                <w:rStyle w:val="BoldandItalics"/>
              </w:rPr>
              <w:t>structural principles</w:t>
            </w:r>
            <w:r w:rsidRPr="00247CDA">
              <w:t xml:space="preserve"> that apply to erection </w:t>
            </w:r>
            <w:r w:rsidRPr="00247CDA">
              <w:t xml:space="preserve">or demolition of a </w:t>
            </w:r>
            <w:r w:rsidRPr="00247CDA">
              <w:rPr>
                <w:rStyle w:val="BoldandItalics"/>
              </w:rPr>
              <w:t>low rise</w:t>
            </w:r>
            <w:r w:rsidRPr="00247CDA">
              <w:t xml:space="preserve"> commercial structure are identified. </w:t>
            </w:r>
          </w:p>
          <w:p w:rsidR="00000000" w:rsidRPr="00247CDA" w:rsidRDefault="00BF30E5" w:rsidP="00247CDA">
            <w:pPr>
              <w:pStyle w:val="List2"/>
            </w:pPr>
            <w:r w:rsidRPr="00247CDA">
              <w:t>1.2.</w:t>
            </w:r>
            <w:r w:rsidRPr="00247CDA">
              <w:tab/>
              <w:t xml:space="preserve">Structural performance of a structure is described in terms of the effect of section properties on various </w:t>
            </w:r>
            <w:r w:rsidRPr="00247CDA">
              <w:rPr>
                <w:rStyle w:val="BoldandItalics"/>
              </w:rPr>
              <w:t>materials and their related construction methods</w:t>
            </w:r>
            <w:r w:rsidRPr="00247CDA">
              <w:t xml:space="preserve">. </w:t>
            </w:r>
          </w:p>
          <w:p w:rsidR="00000000" w:rsidRPr="00247CDA" w:rsidRDefault="00BF30E5" w:rsidP="00247CDA">
            <w:pPr>
              <w:pStyle w:val="List2"/>
            </w:pPr>
            <w:r w:rsidRPr="00247CDA">
              <w:t>1.3.</w:t>
            </w:r>
            <w:r w:rsidRPr="00247CDA">
              <w:tab/>
            </w:r>
            <w:r w:rsidRPr="00247CDA">
              <w:t>Structural performance characteristics of slabs, beams, columns and retaining walls are explained and applied to planning of the construction work.</w:t>
            </w:r>
          </w:p>
          <w:p w:rsidR="00000000" w:rsidRDefault="00BF30E5" w:rsidP="00247CDA">
            <w:pPr>
              <w:pStyle w:val="List2"/>
              <w:rPr>
                <w:lang w:val="en-NZ"/>
              </w:rPr>
            </w:pPr>
            <w:r w:rsidRPr="00247CDA">
              <w:t>1.4.</w:t>
            </w:r>
            <w:r w:rsidRPr="00247CDA">
              <w:tab/>
              <w:t>Demolition of existing structures is coordinated in accordance with safe work practices and legislative</w:t>
            </w:r>
            <w:r w:rsidRPr="00247CDA">
              <w:t>, environmental and planning requirements.</w:t>
            </w:r>
          </w:p>
        </w:tc>
      </w:tr>
      <w:tr w:rsidR="00000000" w:rsidTr="00BF30E5">
        <w:tc>
          <w:tcPr>
            <w:tcW w:w="2567" w:type="dxa"/>
            <w:tcBorders>
              <w:top w:val="nil"/>
              <w:left w:val="nil"/>
              <w:bottom w:val="nil"/>
              <w:right w:val="nil"/>
            </w:tcBorders>
            <w:tcMar>
              <w:top w:w="0" w:type="dxa"/>
              <w:left w:w="62" w:type="dxa"/>
              <w:bottom w:w="0" w:type="dxa"/>
              <w:right w:w="62" w:type="dxa"/>
            </w:tcMar>
          </w:tcPr>
          <w:p w:rsidR="00000000" w:rsidRDefault="00BF30E5" w:rsidP="00247CDA">
            <w:pPr>
              <w:pStyle w:val="List"/>
              <w:rPr>
                <w:lang w:val="en-NZ"/>
              </w:rPr>
            </w:pPr>
            <w:r w:rsidRPr="00247CDA">
              <w:t>2.</w:t>
            </w:r>
            <w:r w:rsidRPr="00247CDA">
              <w:tab/>
              <w:t>Analyse and plan for the structural integrity of Class 2 to 9 buildings.</w:t>
            </w:r>
          </w:p>
        </w:tc>
        <w:tc>
          <w:tcPr>
            <w:tcW w:w="5955"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2"/>
            </w:pPr>
            <w:r w:rsidRPr="00247CDA">
              <w:t>2.1.</w:t>
            </w:r>
            <w:r w:rsidRPr="00247CDA">
              <w:tab/>
              <w:t xml:space="preserve">Relevant </w:t>
            </w:r>
            <w:r w:rsidRPr="00247CDA">
              <w:rPr>
                <w:rStyle w:val="BoldandItalics"/>
              </w:rPr>
              <w:t>industry professionals</w:t>
            </w:r>
            <w:r w:rsidRPr="00247CDA">
              <w:t xml:space="preserve"> are consulted as required to provide advice regarding the design process and structural integrity o</w:t>
            </w:r>
            <w:r w:rsidRPr="00247CDA">
              <w:t xml:space="preserve">f proposed commercial low rise building. </w:t>
            </w:r>
          </w:p>
          <w:p w:rsidR="00000000" w:rsidRPr="00247CDA" w:rsidRDefault="00BF30E5" w:rsidP="00247CDA">
            <w:pPr>
              <w:pStyle w:val="List2"/>
            </w:pPr>
            <w:r w:rsidRPr="00247CDA">
              <w:t>2.2.</w:t>
            </w:r>
            <w:r w:rsidRPr="00247CDA">
              <w:tab/>
            </w:r>
            <w:r w:rsidRPr="00247CDA">
              <w:rPr>
                <w:rStyle w:val="BoldandItalics"/>
              </w:rPr>
              <w:t>Project documentation</w:t>
            </w:r>
            <w:r w:rsidRPr="00247CDA">
              <w:t xml:space="preserve"> is collected and analysed to assist in the analysis of plans and specifications. </w:t>
            </w:r>
          </w:p>
          <w:p w:rsidR="00000000" w:rsidRPr="00247CDA" w:rsidRDefault="00BF30E5" w:rsidP="00247CDA">
            <w:pPr>
              <w:pStyle w:val="List2"/>
            </w:pPr>
            <w:r w:rsidRPr="00247CDA">
              <w:t>2.3.</w:t>
            </w:r>
            <w:r w:rsidRPr="00247CDA">
              <w:tab/>
              <w:t>Project documentation is analysed for compliance with BCA requirements for bushfire, high wind, eart</w:t>
            </w:r>
            <w:r w:rsidRPr="00247CDA">
              <w:t>hquake and alpine environments.</w:t>
            </w:r>
          </w:p>
          <w:p w:rsidR="00000000" w:rsidRPr="00247CDA" w:rsidRDefault="00BF30E5" w:rsidP="00247CDA">
            <w:pPr>
              <w:pStyle w:val="List2"/>
            </w:pPr>
            <w:r w:rsidRPr="00247CDA">
              <w:t>2.4.</w:t>
            </w:r>
            <w:r w:rsidRPr="00247CDA">
              <w:tab/>
              <w:t>New and emerging building technologies are assessed for application to the construction process and their compliance with BCA requirements and Australian standards.</w:t>
            </w:r>
          </w:p>
          <w:p w:rsidR="00000000" w:rsidRDefault="00BF30E5" w:rsidP="00247CDA">
            <w:pPr>
              <w:pStyle w:val="List2"/>
              <w:rPr>
                <w:lang w:val="en-NZ"/>
              </w:rPr>
            </w:pPr>
            <w:r w:rsidRPr="00247CDA">
              <w:t>2.5.</w:t>
            </w:r>
            <w:r w:rsidRPr="00247CDA">
              <w:tab/>
              <w:t xml:space="preserve">Pre-commencement site inspection is conducted to </w:t>
            </w:r>
            <w:r w:rsidRPr="00247CDA">
              <w:t>confirm analysis.</w:t>
            </w:r>
          </w:p>
        </w:tc>
      </w:tr>
      <w:tr w:rsidR="00000000" w:rsidTr="00BF30E5">
        <w:tc>
          <w:tcPr>
            <w:tcW w:w="2567" w:type="dxa"/>
            <w:tcBorders>
              <w:top w:val="nil"/>
              <w:left w:val="nil"/>
              <w:bottom w:val="nil"/>
              <w:right w:val="nil"/>
            </w:tcBorders>
            <w:tcMar>
              <w:top w:w="0" w:type="dxa"/>
              <w:left w:w="62" w:type="dxa"/>
              <w:bottom w:w="0" w:type="dxa"/>
              <w:right w:w="62" w:type="dxa"/>
            </w:tcMar>
          </w:tcPr>
          <w:p w:rsidR="00000000" w:rsidRDefault="00BF30E5" w:rsidP="00247CDA">
            <w:pPr>
              <w:pStyle w:val="List"/>
              <w:rPr>
                <w:lang w:val="en-NZ"/>
              </w:rPr>
            </w:pPr>
            <w:r w:rsidRPr="00247CDA">
              <w:t>3.</w:t>
            </w:r>
            <w:r w:rsidRPr="00247CDA">
              <w:tab/>
              <w:t>Plan, coordinate and manage laying of footing systems.</w:t>
            </w:r>
          </w:p>
        </w:tc>
        <w:tc>
          <w:tcPr>
            <w:tcW w:w="5955"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2"/>
            </w:pPr>
            <w:r w:rsidRPr="00247CDA">
              <w:t>3.1.</w:t>
            </w:r>
            <w:r w:rsidRPr="00247CDA">
              <w:tab/>
            </w:r>
            <w:r w:rsidRPr="00247CDA">
              <w:rPr>
                <w:rStyle w:val="BoldandItalics"/>
              </w:rPr>
              <w:t>Footing systems</w:t>
            </w:r>
            <w:r w:rsidRPr="00247CDA">
              <w:t xml:space="preserve"> are set out in accordance with building's plans. </w:t>
            </w:r>
          </w:p>
          <w:p w:rsidR="00000000" w:rsidRPr="00247CDA" w:rsidRDefault="00BF30E5" w:rsidP="00247CDA">
            <w:pPr>
              <w:pStyle w:val="List2"/>
            </w:pPr>
            <w:r w:rsidRPr="00247CDA">
              <w:t>3.2.</w:t>
            </w:r>
            <w:r w:rsidRPr="00247CDA">
              <w:tab/>
              <w:t>Structural integrity of the footings specified in building's plan is assessed for compliance with relev</w:t>
            </w:r>
            <w:r w:rsidRPr="00247CDA">
              <w:t>ant codes and accepted industry construction principles.</w:t>
            </w:r>
          </w:p>
          <w:p w:rsidR="00000000" w:rsidRPr="00247CDA" w:rsidRDefault="00BF30E5" w:rsidP="00247CDA">
            <w:pPr>
              <w:pStyle w:val="List2"/>
            </w:pPr>
            <w:r w:rsidRPr="00247CDA">
              <w:t>3.3.</w:t>
            </w:r>
            <w:r w:rsidRPr="00247CDA">
              <w:tab/>
              <w:t>Footings specified in building's plan are laid and checked for compliance with project documentation.</w:t>
            </w:r>
          </w:p>
          <w:p w:rsidR="00000000" w:rsidRDefault="00BF30E5" w:rsidP="00247CDA">
            <w:pPr>
              <w:pStyle w:val="List2"/>
              <w:rPr>
                <w:lang w:val="en-NZ"/>
              </w:rPr>
            </w:pPr>
            <w:r w:rsidRPr="00247CDA">
              <w:t>3.4.</w:t>
            </w:r>
            <w:r w:rsidRPr="00247CDA">
              <w:tab/>
              <w:t>Damp coursing and provision of termite barriers and other relevant techniques are plann</w:t>
            </w:r>
            <w:r w:rsidRPr="00247CDA">
              <w:t>ed, implemented and checked in accordance with codes, standards and industry practice.</w:t>
            </w:r>
          </w:p>
        </w:tc>
      </w:tr>
      <w:tr w:rsidR="00000000" w:rsidTr="00BF30E5">
        <w:tc>
          <w:tcPr>
            <w:tcW w:w="2567" w:type="dxa"/>
            <w:tcBorders>
              <w:top w:val="nil"/>
              <w:left w:val="nil"/>
              <w:bottom w:val="nil"/>
              <w:right w:val="nil"/>
            </w:tcBorders>
            <w:tcMar>
              <w:top w:w="0" w:type="dxa"/>
              <w:left w:w="62" w:type="dxa"/>
              <w:bottom w:w="0" w:type="dxa"/>
              <w:right w:w="62" w:type="dxa"/>
            </w:tcMar>
          </w:tcPr>
          <w:p w:rsidR="00000000" w:rsidRDefault="00BF30E5" w:rsidP="00247CDA">
            <w:pPr>
              <w:pStyle w:val="List"/>
              <w:rPr>
                <w:lang w:val="en-NZ"/>
              </w:rPr>
            </w:pPr>
            <w:r w:rsidRPr="00247CDA">
              <w:t>4.</w:t>
            </w:r>
            <w:r w:rsidRPr="00247CDA">
              <w:tab/>
              <w:t>Plan, coordinate and manage laying of floor system.</w:t>
            </w:r>
          </w:p>
        </w:tc>
        <w:tc>
          <w:tcPr>
            <w:tcW w:w="5955"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2"/>
            </w:pPr>
            <w:r w:rsidRPr="00247CDA">
              <w:t>4.1.</w:t>
            </w:r>
            <w:r w:rsidRPr="00247CDA">
              <w:tab/>
              <w:t>Floor system components specified in building's plan are assessed for structural integrity and compliance wi</w:t>
            </w:r>
            <w:r w:rsidRPr="00247CDA">
              <w:t>th relevant codes and accepted industry construction principles.</w:t>
            </w:r>
          </w:p>
          <w:p w:rsidR="00000000" w:rsidRDefault="00BF30E5" w:rsidP="00247CDA">
            <w:pPr>
              <w:pStyle w:val="List2"/>
              <w:rPr>
                <w:lang w:val="en-NZ"/>
              </w:rPr>
            </w:pPr>
            <w:r w:rsidRPr="00247CDA">
              <w:t>4.2.</w:t>
            </w:r>
            <w:r w:rsidRPr="00247CDA">
              <w:tab/>
              <w:t xml:space="preserve">Laying of </w:t>
            </w:r>
            <w:r w:rsidRPr="00247CDA">
              <w:rPr>
                <w:rStyle w:val="BoldandItalics"/>
              </w:rPr>
              <w:t>structural floor system</w:t>
            </w:r>
            <w:r w:rsidRPr="00247CDA">
              <w:t xml:space="preserve"> specified in building's plan is supervised and checked for compliance with project documentation. </w:t>
            </w:r>
          </w:p>
        </w:tc>
      </w:tr>
      <w:tr w:rsidR="00000000" w:rsidTr="00BF30E5">
        <w:tc>
          <w:tcPr>
            <w:tcW w:w="2567" w:type="dxa"/>
            <w:tcBorders>
              <w:top w:val="nil"/>
              <w:left w:val="nil"/>
              <w:bottom w:val="nil"/>
              <w:right w:val="nil"/>
            </w:tcBorders>
            <w:tcMar>
              <w:top w:w="0" w:type="dxa"/>
              <w:left w:w="62" w:type="dxa"/>
              <w:bottom w:w="0" w:type="dxa"/>
              <w:right w:w="62" w:type="dxa"/>
            </w:tcMar>
          </w:tcPr>
          <w:p w:rsidR="00000000" w:rsidRDefault="00BF30E5" w:rsidP="00247CDA">
            <w:pPr>
              <w:pStyle w:val="List"/>
              <w:rPr>
                <w:lang w:val="en-NZ"/>
              </w:rPr>
            </w:pPr>
            <w:r w:rsidRPr="00247CDA">
              <w:t>5.</w:t>
            </w:r>
            <w:r w:rsidRPr="00247CDA">
              <w:tab/>
            </w:r>
            <w:r w:rsidRPr="00247CDA">
              <w:t>Plan, coordinate and manage the building of structural wall systems and wall cladding systems.</w:t>
            </w:r>
          </w:p>
        </w:tc>
        <w:tc>
          <w:tcPr>
            <w:tcW w:w="5955"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2"/>
            </w:pPr>
            <w:r w:rsidRPr="00247CDA">
              <w:t>5.1.</w:t>
            </w:r>
            <w:r w:rsidRPr="00247CDA">
              <w:tab/>
              <w:t xml:space="preserve">Technical construction principles and performance characteristics of </w:t>
            </w:r>
            <w:r w:rsidRPr="00247CDA">
              <w:rPr>
                <w:rStyle w:val="BoldandItalics"/>
              </w:rPr>
              <w:t>structural wall systems</w:t>
            </w:r>
            <w:r w:rsidRPr="00247CDA">
              <w:t xml:space="preserve"> and </w:t>
            </w:r>
            <w:r w:rsidRPr="00247CDA">
              <w:rPr>
                <w:rStyle w:val="BoldandItalics"/>
              </w:rPr>
              <w:t>wall cladding systems</w:t>
            </w:r>
            <w:r w:rsidRPr="00247CDA">
              <w:t xml:space="preserve"> are identified and analysed in the pl</w:t>
            </w:r>
            <w:r w:rsidRPr="00247CDA">
              <w:t xml:space="preserve">anning of the building and construction project. </w:t>
            </w:r>
          </w:p>
          <w:p w:rsidR="00000000" w:rsidRPr="00247CDA" w:rsidRDefault="00BF30E5" w:rsidP="00247CDA">
            <w:pPr>
              <w:pStyle w:val="List2"/>
            </w:pPr>
            <w:r w:rsidRPr="00247CDA">
              <w:t>5.2.</w:t>
            </w:r>
            <w:r w:rsidRPr="00247CDA">
              <w:tab/>
              <w:t>Processes for erecting wall systems and wall cladding systems are identified, implemented and checked for compliance with manufacturer specifications and relevant Australian standards and codes.</w:t>
            </w:r>
          </w:p>
          <w:p w:rsidR="00000000" w:rsidRPr="00247CDA" w:rsidRDefault="00BF30E5" w:rsidP="00247CDA">
            <w:pPr>
              <w:pStyle w:val="List2"/>
            </w:pPr>
            <w:r w:rsidRPr="00247CDA">
              <w:t>5.3.</w:t>
            </w:r>
            <w:r w:rsidRPr="00247CDA">
              <w:tab/>
              <w:t>B</w:t>
            </w:r>
            <w:r w:rsidRPr="00247CDA">
              <w:t xml:space="preserve">uilding plans and relevant standards and codes are identified and implemented to ensure appropriate allowances have been made for </w:t>
            </w:r>
            <w:r w:rsidRPr="00247CDA">
              <w:rPr>
                <w:rStyle w:val="BoldandItalics"/>
              </w:rPr>
              <w:t>relevant services</w:t>
            </w:r>
            <w:r w:rsidRPr="00247CDA">
              <w:t xml:space="preserve"> to be installed. </w:t>
            </w:r>
          </w:p>
          <w:p w:rsidR="00000000" w:rsidRDefault="00BF30E5" w:rsidP="00247CDA">
            <w:pPr>
              <w:pStyle w:val="List2"/>
              <w:rPr>
                <w:lang w:val="en-NZ"/>
              </w:rPr>
            </w:pPr>
            <w:r w:rsidRPr="00247CDA">
              <w:t>5.4.</w:t>
            </w:r>
            <w:r w:rsidRPr="00247CDA">
              <w:tab/>
              <w:t>Windows and external doors are installed in compliance with relevant codes, manufactu</w:t>
            </w:r>
            <w:r w:rsidRPr="00247CDA">
              <w:t>rer specifications and accepted industry construction principles.</w:t>
            </w:r>
          </w:p>
        </w:tc>
      </w:tr>
      <w:tr w:rsidR="00000000" w:rsidRPr="00247CDA" w:rsidTr="00BF30E5">
        <w:tc>
          <w:tcPr>
            <w:tcW w:w="2567" w:type="dxa"/>
            <w:tcBorders>
              <w:top w:val="nil"/>
              <w:left w:val="nil"/>
              <w:bottom w:val="nil"/>
              <w:right w:val="nil"/>
            </w:tcBorders>
            <w:tcMar>
              <w:top w:w="0" w:type="dxa"/>
              <w:left w:w="62" w:type="dxa"/>
              <w:bottom w:w="0" w:type="dxa"/>
              <w:right w:w="62" w:type="dxa"/>
            </w:tcMar>
          </w:tcPr>
          <w:p w:rsidR="00000000" w:rsidRDefault="00BF30E5" w:rsidP="00247CDA">
            <w:pPr>
              <w:pStyle w:val="List"/>
              <w:rPr>
                <w:lang w:val="en-NZ"/>
              </w:rPr>
            </w:pPr>
            <w:r w:rsidRPr="00247CDA">
              <w:t>6.</w:t>
            </w:r>
            <w:r w:rsidRPr="00247CDA">
              <w:tab/>
              <w:t>Plan, coordinate and manage the building of structural roof systems and roof cladding systems.</w:t>
            </w:r>
          </w:p>
        </w:tc>
        <w:tc>
          <w:tcPr>
            <w:tcW w:w="5955"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2"/>
            </w:pPr>
            <w:r w:rsidRPr="00247CDA">
              <w:t>6.1.</w:t>
            </w:r>
            <w:r w:rsidRPr="00247CDA">
              <w:tab/>
              <w:t xml:space="preserve">Structural integrity of the </w:t>
            </w:r>
            <w:r w:rsidRPr="00247CDA">
              <w:rPr>
                <w:rStyle w:val="BoldandItalics"/>
              </w:rPr>
              <w:t>structural roof system</w:t>
            </w:r>
            <w:r w:rsidRPr="00247CDA">
              <w:t xml:space="preserve"> and </w:t>
            </w:r>
            <w:r w:rsidRPr="00247CDA">
              <w:rPr>
                <w:rStyle w:val="BoldandItalics"/>
              </w:rPr>
              <w:t>roof cladding system</w:t>
            </w:r>
            <w:r w:rsidRPr="00247CDA">
              <w:t xml:space="preserve"> components</w:t>
            </w:r>
            <w:r w:rsidRPr="00247CDA">
              <w:t xml:space="preserve"> specified in building's plan is assessed for compliance with relevant codes and accepted industry construction principles. </w:t>
            </w:r>
          </w:p>
          <w:p w:rsidR="00000000" w:rsidRPr="00247CDA" w:rsidRDefault="00BF30E5" w:rsidP="00247CDA">
            <w:pPr>
              <w:pStyle w:val="List2"/>
            </w:pPr>
            <w:r w:rsidRPr="00247CDA">
              <w:t>6.2.</w:t>
            </w:r>
            <w:r w:rsidRPr="00247CDA">
              <w:tab/>
              <w:t>Construction of roof system and roof cladding system, including details of service penetrations, skylights and roof ventilator</w:t>
            </w:r>
            <w:r w:rsidRPr="00247CDA">
              <w:t>s, is planned, implemented and checked in accordance with building plan's requirements, type of roof being constructed, relevant codes and accepted industry construction principles.</w:t>
            </w:r>
          </w:p>
          <w:p w:rsidR="00000000" w:rsidRPr="00247CDA" w:rsidRDefault="00BF30E5" w:rsidP="00247CDA">
            <w:pPr>
              <w:pStyle w:val="List2"/>
            </w:pPr>
            <w:r w:rsidRPr="00247CDA">
              <w:t>6.3.</w:t>
            </w:r>
            <w:r w:rsidRPr="00247CDA">
              <w:tab/>
              <w:t xml:space="preserve">Processes are put in place and managed to ensure quality of finished </w:t>
            </w:r>
            <w:r w:rsidRPr="00247CDA">
              <w:t>roof system.</w:t>
            </w:r>
          </w:p>
        </w:tc>
      </w:tr>
    </w:tbl>
    <w:p w:rsidR="00BF30E5" w:rsidRDefault="00BF30E5" w:rsidP="00247CDA">
      <w:pPr>
        <w:pStyle w:val="BodyText"/>
      </w:pPr>
    </w:p>
    <w:p w:rsidR="00BF30E5" w:rsidRDefault="00BF30E5" w:rsidP="00247CDA">
      <w:pPr>
        <w:pStyle w:val="BodyText"/>
      </w:pPr>
    </w:p>
    <w:p w:rsidR="00000000" w:rsidRPr="00247CDA" w:rsidRDefault="00BF30E5" w:rsidP="00247CDA">
      <w:pPr>
        <w:pStyle w:val="Heading1"/>
      </w:pPr>
      <w:bookmarkStart w:id="9" w:name="O_258071"/>
      <w:bookmarkEnd w:id="9"/>
      <w:r w:rsidRPr="00247CDA">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BF30E5">
        <w:trPr>
          <w:tblHeader/>
        </w:trPr>
        <w:tc>
          <w:tcPr>
            <w:tcW w:w="8522"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REQUIRED SKILLS AND KNOWLEDGE</w:t>
            </w:r>
          </w:p>
        </w:tc>
      </w:tr>
      <w:tr w:rsidR="00000000" w:rsidRPr="00247CDA" w:rsidTr="00BF30E5">
        <w:tc>
          <w:tcPr>
            <w:tcW w:w="8522"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t>This section describes the skills and knowledge required for this unit.</w:t>
            </w:r>
          </w:p>
        </w:tc>
      </w:tr>
      <w:tr w:rsidR="00000000" w:rsidTr="00BF30E5">
        <w:tc>
          <w:tcPr>
            <w:tcW w:w="8522"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Required skills</w:t>
            </w:r>
          </w:p>
        </w:tc>
      </w:tr>
      <w:tr w:rsidR="00000000" w:rsidRPr="00247CDA" w:rsidTr="00BF30E5">
        <w:tc>
          <w:tcPr>
            <w:tcW w:w="8522" w:type="dxa"/>
            <w:tcBorders>
              <w:top w:val="nil"/>
              <w:left w:val="nil"/>
              <w:bottom w:val="nil"/>
              <w:right w:val="nil"/>
            </w:tcBorders>
            <w:tcMar>
              <w:top w:w="0" w:type="dxa"/>
              <w:left w:w="62" w:type="dxa"/>
              <w:bottom w:w="0" w:type="dxa"/>
              <w:right w:w="62" w:type="dxa"/>
            </w:tcMar>
          </w:tcPr>
          <w:p w:rsidR="00000000" w:rsidRPr="00247CDA" w:rsidRDefault="00BF30E5" w:rsidP="00247CDA">
            <w:pPr>
              <w:pStyle w:val="BodyText"/>
            </w:pPr>
            <w:r w:rsidRPr="00247CDA">
              <w:t>Required skills for this unit are:</w:t>
            </w:r>
          </w:p>
          <w:p w:rsidR="00000000" w:rsidRPr="00247CDA" w:rsidRDefault="00BF30E5" w:rsidP="00247CDA">
            <w:pPr>
              <w:pStyle w:val="ListBullet"/>
            </w:pPr>
            <w:r w:rsidRPr="00247CDA">
              <w:t>analytical skills and the capacity to foresee potential problems</w:t>
            </w:r>
          </w:p>
          <w:p w:rsidR="00000000" w:rsidRPr="00247CDA" w:rsidRDefault="00BF30E5" w:rsidP="00247CDA">
            <w:pPr>
              <w:pStyle w:val="ListBullet"/>
            </w:pPr>
            <w:r w:rsidRPr="00247CDA">
              <w:t>apply Australian standards, codes and manufacturer specifications</w:t>
            </w:r>
          </w:p>
          <w:p w:rsidR="00000000" w:rsidRPr="00247CDA" w:rsidRDefault="00BF30E5" w:rsidP="00247CDA">
            <w:pPr>
              <w:pStyle w:val="ListBullet"/>
            </w:pPr>
            <w:r w:rsidRPr="00247CDA">
              <w:t>apply structural principles to a variety of low rise structures</w:t>
            </w:r>
          </w:p>
          <w:p w:rsidR="00000000" w:rsidRPr="00247CDA" w:rsidRDefault="00BF30E5" w:rsidP="00247CDA">
            <w:pPr>
              <w:pStyle w:val="ListBullet"/>
            </w:pPr>
            <w:r w:rsidRPr="00247CDA">
              <w:t>construction management and planning techniques</w:t>
            </w:r>
          </w:p>
          <w:p w:rsidR="00000000" w:rsidRPr="00247CDA" w:rsidRDefault="00BF30E5" w:rsidP="00247CDA">
            <w:pPr>
              <w:pStyle w:val="ListBullet"/>
            </w:pPr>
            <w:r w:rsidRPr="00247CDA">
              <w:t xml:space="preserve">coordination </w:t>
            </w:r>
            <w:r w:rsidRPr="00247CDA">
              <w:t>of the work and advice of internal and external professionals</w:t>
            </w:r>
          </w:p>
          <w:p w:rsidR="00000000" w:rsidRPr="00247CDA" w:rsidRDefault="00BF30E5" w:rsidP="00247CDA">
            <w:pPr>
              <w:pStyle w:val="ListBullet"/>
            </w:pPr>
            <w:r w:rsidRPr="00247CDA">
              <w:t>communication skills to:</w:t>
            </w:r>
          </w:p>
          <w:p w:rsidR="00000000" w:rsidRPr="00247CDA" w:rsidRDefault="00BF30E5" w:rsidP="00247CDA">
            <w:pPr>
              <w:pStyle w:val="ListBullet2"/>
            </w:pPr>
            <w:r w:rsidRPr="00247CDA">
              <w:t>consult with industry professionals</w:t>
            </w:r>
          </w:p>
          <w:p w:rsidR="00000000" w:rsidRPr="00247CDA" w:rsidRDefault="00BF30E5" w:rsidP="00247CDA">
            <w:pPr>
              <w:pStyle w:val="ListBullet2"/>
            </w:pPr>
            <w:r w:rsidRPr="00247CDA">
              <w:t>enable clear and direct communication, using questioning to identify and confirm requirements, share information, listen and underst</w:t>
            </w:r>
            <w:r w:rsidRPr="00247CDA">
              <w:t>and</w:t>
            </w:r>
          </w:p>
          <w:p w:rsidR="00000000" w:rsidRPr="00247CDA" w:rsidRDefault="00BF30E5" w:rsidP="00247CDA">
            <w:pPr>
              <w:pStyle w:val="ListBullet2"/>
            </w:pPr>
            <w:r w:rsidRPr="00247CDA">
              <w:t>read and interpret project documentation</w:t>
            </w:r>
          </w:p>
          <w:p w:rsidR="00000000" w:rsidRPr="00247CDA" w:rsidRDefault="00BF30E5" w:rsidP="00247CDA">
            <w:pPr>
              <w:pStyle w:val="ListBullet2"/>
            </w:pPr>
            <w:r w:rsidRPr="00247CDA">
              <w:t>use language and concepts appropriate to cultural differences</w:t>
            </w:r>
          </w:p>
          <w:p w:rsidR="00000000" w:rsidRPr="00247CDA" w:rsidRDefault="00BF30E5" w:rsidP="00247CDA">
            <w:pPr>
              <w:pStyle w:val="ListBullet2"/>
            </w:pPr>
            <w:r w:rsidRPr="00247CDA">
              <w:t>use and interpret non-verbal communication</w:t>
            </w:r>
          </w:p>
          <w:p w:rsidR="00000000" w:rsidRPr="00247CDA" w:rsidRDefault="00BF30E5" w:rsidP="00247CDA">
            <w:pPr>
              <w:pStyle w:val="ListBullet"/>
            </w:pPr>
            <w:r w:rsidRPr="00247CDA">
              <w:t>identify and analyse relevant information</w:t>
            </w:r>
          </w:p>
          <w:p w:rsidR="00000000" w:rsidRPr="00247CDA" w:rsidRDefault="00BF30E5" w:rsidP="00247CDA">
            <w:pPr>
              <w:pStyle w:val="ListBullet"/>
            </w:pPr>
            <w:r w:rsidRPr="00247CDA">
              <w:t>low rise construction building problem solving</w:t>
            </w:r>
          </w:p>
          <w:p w:rsidR="00000000" w:rsidRPr="00247CDA" w:rsidRDefault="00BF30E5" w:rsidP="00247CDA">
            <w:pPr>
              <w:pStyle w:val="ListBullet"/>
            </w:pPr>
            <w:r w:rsidRPr="00247CDA">
              <w:t>numeracy skills to apply calculations</w:t>
            </w:r>
          </w:p>
          <w:p w:rsidR="00000000" w:rsidRPr="00247CDA" w:rsidRDefault="00BF30E5" w:rsidP="00247CDA">
            <w:pPr>
              <w:pStyle w:val="ListBullet"/>
            </w:pPr>
            <w:r w:rsidRPr="00247CDA">
              <w:t>select structural members based on project or specification requirements</w:t>
            </w:r>
          </w:p>
          <w:p w:rsidR="00000000" w:rsidRDefault="00BF30E5" w:rsidP="00247CDA">
            <w:pPr>
              <w:pStyle w:val="ListBullet"/>
              <w:rPr>
                <w:lang w:val="en-NZ"/>
              </w:rPr>
            </w:pPr>
            <w:r w:rsidRPr="00247CDA">
              <w:t>work safely to OHS regulations and site requirements.</w:t>
            </w:r>
          </w:p>
        </w:tc>
      </w:tr>
      <w:tr w:rsidR="00000000" w:rsidTr="00BF30E5">
        <w:tc>
          <w:tcPr>
            <w:tcW w:w="8522"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Required knowledge</w:t>
            </w:r>
          </w:p>
        </w:tc>
      </w:tr>
      <w:tr w:rsidR="00000000" w:rsidRPr="00247CDA" w:rsidTr="00BF30E5">
        <w:tc>
          <w:tcPr>
            <w:tcW w:w="8522" w:type="dxa"/>
            <w:tcBorders>
              <w:top w:val="nil"/>
              <w:left w:val="nil"/>
              <w:bottom w:val="nil"/>
              <w:right w:val="nil"/>
            </w:tcBorders>
            <w:tcMar>
              <w:top w:w="0" w:type="dxa"/>
              <w:left w:w="62" w:type="dxa"/>
              <w:bottom w:w="0" w:type="dxa"/>
              <w:right w:w="62" w:type="dxa"/>
            </w:tcMar>
          </w:tcPr>
          <w:p w:rsidR="00000000" w:rsidRPr="00247CDA" w:rsidRDefault="00BF30E5" w:rsidP="00247CDA">
            <w:pPr>
              <w:pStyle w:val="BodyText"/>
            </w:pPr>
            <w:r w:rsidRPr="00247CDA">
              <w:t>Required knowledge for this unit is:</w:t>
            </w:r>
          </w:p>
          <w:p w:rsidR="00000000" w:rsidRPr="00247CDA" w:rsidRDefault="00BF30E5" w:rsidP="00247CDA">
            <w:pPr>
              <w:pStyle w:val="ListBullet"/>
            </w:pPr>
            <w:r w:rsidRPr="00247CDA">
              <w:t>building and construction industry contracts</w:t>
            </w:r>
          </w:p>
          <w:p w:rsidR="00000000" w:rsidRPr="00247CDA" w:rsidRDefault="00BF30E5" w:rsidP="00247CDA">
            <w:pPr>
              <w:pStyle w:val="ListBullet"/>
            </w:pPr>
            <w:r w:rsidRPr="00247CDA">
              <w:t>new and emerging building technologies, techniques and materials</w:t>
            </w:r>
          </w:p>
          <w:p w:rsidR="00000000" w:rsidRPr="00247CDA" w:rsidRDefault="00BF30E5" w:rsidP="00247CDA">
            <w:pPr>
              <w:pStyle w:val="ListBullet"/>
            </w:pPr>
            <w:r w:rsidRPr="00247CDA">
              <w:t>relevant state or territory building and construction codes, standards and government regulations</w:t>
            </w:r>
          </w:p>
          <w:p w:rsidR="00000000" w:rsidRPr="00247CDA" w:rsidRDefault="00BF30E5" w:rsidP="00247CDA">
            <w:pPr>
              <w:pStyle w:val="ListBullet"/>
            </w:pPr>
            <w:r w:rsidRPr="00247CDA">
              <w:t>underlying principles related to structural anal</w:t>
            </w:r>
            <w:r w:rsidRPr="00247CDA">
              <w:t>ysis</w:t>
            </w:r>
          </w:p>
          <w:p w:rsidR="00000000" w:rsidRPr="00247CDA" w:rsidRDefault="00BF30E5" w:rsidP="00247CDA">
            <w:pPr>
              <w:pStyle w:val="ListBullet"/>
            </w:pPr>
            <w:r w:rsidRPr="00247CDA">
              <w:t>workplace safety requirements.</w:t>
            </w:r>
          </w:p>
        </w:tc>
      </w:tr>
    </w:tbl>
    <w:p w:rsidR="00BF30E5" w:rsidRDefault="00BF30E5" w:rsidP="00247CDA">
      <w:pPr>
        <w:pStyle w:val="BodyText"/>
      </w:pPr>
    </w:p>
    <w:p w:rsidR="00BF30E5" w:rsidRDefault="00BF30E5" w:rsidP="00247CDA">
      <w:pPr>
        <w:pStyle w:val="BodyText"/>
      </w:pPr>
    </w:p>
    <w:p w:rsidR="00000000" w:rsidRPr="00247CDA" w:rsidRDefault="00BF30E5" w:rsidP="00247CDA">
      <w:pPr>
        <w:pStyle w:val="AllowPageBreak"/>
      </w:pPr>
    </w:p>
    <w:p w:rsidR="00000000" w:rsidRPr="00247CDA" w:rsidRDefault="00BF30E5" w:rsidP="00247CDA">
      <w:pPr>
        <w:pStyle w:val="Heading1"/>
      </w:pPr>
      <w:bookmarkStart w:id="10" w:name="O_242105"/>
      <w:bookmarkEnd w:id="10"/>
      <w:r w:rsidRPr="00247CDA">
        <w:lastRenderedPageBreak/>
        <w:t>Evidence Guide</w:t>
      </w:r>
    </w:p>
    <w:tbl>
      <w:tblPr>
        <w:tblW w:w="0" w:type="auto"/>
        <w:tblLayout w:type="fixed"/>
        <w:tblCellMar>
          <w:left w:w="62" w:type="dxa"/>
          <w:right w:w="62" w:type="dxa"/>
        </w:tblCellMar>
        <w:tblLook w:val="0000" w:firstRow="0" w:lastRow="0" w:firstColumn="0" w:lastColumn="0" w:noHBand="0" w:noVBand="0"/>
      </w:tblPr>
      <w:tblGrid>
        <w:gridCol w:w="3500"/>
        <w:gridCol w:w="5022"/>
      </w:tblGrid>
      <w:tr w:rsidR="00247CDA" w:rsidTr="00BF30E5">
        <w:trPr>
          <w:tblHeader/>
        </w:trPr>
        <w:tc>
          <w:tcPr>
            <w:tcW w:w="8522" w:type="dxa"/>
            <w:gridSpan w:val="2"/>
            <w:tcBorders>
              <w:top w:val="nil"/>
              <w:left w:val="nil"/>
              <w:bottom w:val="single" w:sz="6" w:space="0" w:color="auto"/>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EVIDENCE GUIDE</w:t>
            </w:r>
          </w:p>
        </w:tc>
      </w:tr>
      <w:tr w:rsidR="00247CDA" w:rsidRPr="00247CDA" w:rsidTr="00BF30E5">
        <w:tc>
          <w:tcPr>
            <w:tcW w:w="8522" w:type="dxa"/>
            <w:gridSpan w:val="2"/>
            <w:tcBorders>
              <w:top w:val="single" w:sz="6" w:space="0" w:color="auto"/>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t xml:space="preserve">The evidence guide provides advice on assessment and must be read in conjunction with the performance criteria, required skills and knowledge, </w:t>
            </w:r>
            <w:r w:rsidRPr="00247CDA">
              <w:t>range statement and the Assessment Guidelines for the Training Package.</w:t>
            </w:r>
          </w:p>
        </w:tc>
      </w:tr>
      <w:tr w:rsidR="00000000" w:rsidRPr="00247CDA" w:rsidTr="00BF30E5">
        <w:tc>
          <w:tcPr>
            <w:tcW w:w="3500"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Overview of assessment</w:t>
            </w:r>
          </w:p>
        </w:tc>
        <w:tc>
          <w:tcPr>
            <w:tcW w:w="5022" w:type="dxa"/>
            <w:tcBorders>
              <w:top w:val="nil"/>
              <w:left w:val="nil"/>
              <w:bottom w:val="nil"/>
              <w:right w:val="nil"/>
            </w:tcBorders>
            <w:tcMar>
              <w:top w:w="0" w:type="dxa"/>
              <w:left w:w="62" w:type="dxa"/>
              <w:bottom w:w="0" w:type="dxa"/>
              <w:right w:w="62" w:type="dxa"/>
            </w:tcMar>
          </w:tcPr>
          <w:p w:rsidR="00000000" w:rsidRPr="00247CDA" w:rsidRDefault="00BF30E5" w:rsidP="00247CDA">
            <w:pPr>
              <w:pStyle w:val="BodyText"/>
            </w:pPr>
            <w:r w:rsidRPr="00247CDA">
              <w:t xml:space="preserve">This unit of competency could be assessed by the effective application of structural principles and concepts for erection and demolition in </w:t>
            </w:r>
            <w:r w:rsidRPr="00247CDA">
              <w:t>accordance with the range of variables and application in a low rise building project.</w:t>
            </w:r>
          </w:p>
          <w:p w:rsidR="00000000" w:rsidRDefault="00BF30E5" w:rsidP="00247CDA">
            <w:pPr>
              <w:pStyle w:val="BodyText"/>
              <w:rPr>
                <w:lang w:val="en-NZ"/>
              </w:rPr>
            </w:pPr>
            <w:r w:rsidRPr="00247CDA">
              <w:t>This unit of competency can be assessed in the workplace or a close simulation of the workplace environment, provided that simulated or project-based assessment techniqu</w:t>
            </w:r>
            <w:r w:rsidRPr="00247CDA">
              <w:t xml:space="preserve">es fully replicate construction workplace conditions, materials, activities, responsibilities and procedures. </w:t>
            </w:r>
          </w:p>
        </w:tc>
      </w:tr>
      <w:tr w:rsidR="00000000" w:rsidRPr="00247CDA" w:rsidTr="00BF30E5">
        <w:tc>
          <w:tcPr>
            <w:tcW w:w="3500"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Critical aspects for assessment and evidence required to demonstrate competency in this unit</w:t>
            </w:r>
          </w:p>
        </w:tc>
        <w:tc>
          <w:tcPr>
            <w:tcW w:w="5022" w:type="dxa"/>
            <w:tcBorders>
              <w:top w:val="nil"/>
              <w:left w:val="nil"/>
              <w:bottom w:val="nil"/>
              <w:right w:val="nil"/>
            </w:tcBorders>
            <w:tcMar>
              <w:top w:w="0" w:type="dxa"/>
              <w:left w:w="62" w:type="dxa"/>
              <w:bottom w:w="0" w:type="dxa"/>
              <w:right w:w="62" w:type="dxa"/>
            </w:tcMar>
          </w:tcPr>
          <w:p w:rsidR="00000000" w:rsidRPr="00247CDA" w:rsidRDefault="00BF30E5" w:rsidP="00247CDA">
            <w:pPr>
              <w:pStyle w:val="BodyText"/>
            </w:pPr>
            <w:r w:rsidRPr="00247CDA">
              <w:t>A person who demonstrates competency in this unit m</w:t>
            </w:r>
            <w:r w:rsidRPr="00247CDA">
              <w:t>ust be able to provide evidence of the ability to:</w:t>
            </w:r>
          </w:p>
          <w:p w:rsidR="00000000" w:rsidRPr="00247CDA" w:rsidRDefault="00BF30E5" w:rsidP="00247CDA">
            <w:pPr>
              <w:pStyle w:val="ListBullet"/>
            </w:pPr>
            <w:r w:rsidRPr="00247CDA">
              <w:t>assess structural integrity of a variety of structures found on building and construction sites</w:t>
            </w:r>
          </w:p>
          <w:p w:rsidR="00000000" w:rsidRPr="00247CDA" w:rsidRDefault="00BF30E5" w:rsidP="00247CDA">
            <w:pPr>
              <w:pStyle w:val="ListBullet"/>
            </w:pPr>
            <w:r w:rsidRPr="00247CDA">
              <w:t xml:space="preserve">apply structural principles behind the safe erection and demolition of low rise structures classified within </w:t>
            </w:r>
            <w:r w:rsidRPr="00247CDA">
              <w:t>the BCA as Classes 2 to 9 with a gross floor area not exceeding 2000 square metres but not including Type A or Type B construction</w:t>
            </w:r>
          </w:p>
          <w:p w:rsidR="00000000" w:rsidRPr="00247CDA" w:rsidRDefault="00BF30E5" w:rsidP="00247CDA">
            <w:pPr>
              <w:pStyle w:val="ListBullet"/>
            </w:pPr>
            <w:r w:rsidRPr="00247CDA">
              <w:t>apply technical construction principles to the appropriate selection, integration and building in of construction elements an</w:t>
            </w:r>
            <w:r w:rsidRPr="00247CDA">
              <w:t>d components</w:t>
            </w:r>
          </w:p>
          <w:p w:rsidR="00000000" w:rsidRDefault="00BF30E5" w:rsidP="00247CDA">
            <w:pPr>
              <w:pStyle w:val="ListBullet"/>
              <w:rPr>
                <w:lang w:val="en-NZ"/>
              </w:rPr>
            </w:pPr>
            <w:r w:rsidRPr="00247CDA">
              <w:t>coordinate, plan, implement and check building of a low rise structure.</w:t>
            </w:r>
          </w:p>
        </w:tc>
      </w:tr>
      <w:tr w:rsidR="00000000" w:rsidRPr="00247CDA" w:rsidTr="00BF30E5">
        <w:tc>
          <w:tcPr>
            <w:tcW w:w="3500"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lastRenderedPageBreak/>
              <w:t>Context of and specific resources for assessment</w:t>
            </w:r>
          </w:p>
        </w:tc>
        <w:tc>
          <w:tcPr>
            <w:tcW w:w="5022" w:type="dxa"/>
            <w:tcBorders>
              <w:top w:val="nil"/>
              <w:left w:val="nil"/>
              <w:bottom w:val="nil"/>
              <w:right w:val="nil"/>
            </w:tcBorders>
            <w:tcMar>
              <w:top w:w="0" w:type="dxa"/>
              <w:left w:w="62" w:type="dxa"/>
              <w:bottom w:w="0" w:type="dxa"/>
              <w:right w:w="62" w:type="dxa"/>
            </w:tcMar>
          </w:tcPr>
          <w:p w:rsidR="00000000" w:rsidRPr="00247CDA" w:rsidRDefault="00BF30E5" w:rsidP="00247CDA">
            <w:pPr>
              <w:pStyle w:val="BodyText"/>
            </w:pPr>
            <w:r w:rsidRPr="00247CDA">
              <w:t>This competency is to be assessed using standard and authorised work practices, safety requirements and environmental con</w:t>
            </w:r>
            <w:r w:rsidRPr="00247CDA">
              <w:t>straints.</w:t>
            </w:r>
          </w:p>
          <w:p w:rsidR="00000000" w:rsidRPr="00247CDA" w:rsidRDefault="00BF30E5" w:rsidP="00247CDA">
            <w:pPr>
              <w:pStyle w:val="BodyText"/>
            </w:pPr>
            <w:r w:rsidRPr="00247CDA">
              <w:t>Assessment of essential underpinning knowledge will usually be conducted in an off-site context.</w:t>
            </w:r>
          </w:p>
          <w:p w:rsidR="00000000" w:rsidRPr="00247CDA" w:rsidRDefault="00BF30E5" w:rsidP="00247CDA">
            <w:pPr>
              <w:pStyle w:val="BodyText"/>
            </w:pPr>
            <w:r w:rsidRPr="00247CDA">
              <w:t>Assessment is to comply with relevant regulatory or Australian standards' requirements.</w:t>
            </w:r>
          </w:p>
          <w:p w:rsidR="00000000" w:rsidRPr="00247CDA" w:rsidRDefault="00BF30E5" w:rsidP="00247CDA">
            <w:pPr>
              <w:pStyle w:val="BodyText"/>
            </w:pPr>
            <w:r w:rsidRPr="00247CDA">
              <w:t>Resource implications for assessment include:</w:t>
            </w:r>
          </w:p>
          <w:p w:rsidR="00000000" w:rsidRPr="00247CDA" w:rsidRDefault="00BF30E5" w:rsidP="00247CDA">
            <w:pPr>
              <w:pStyle w:val="ListBullet"/>
            </w:pPr>
            <w:r w:rsidRPr="00247CDA">
              <w:t>documentation that should normally be available in either a building or construction office</w:t>
            </w:r>
          </w:p>
          <w:p w:rsidR="00000000" w:rsidRPr="00247CDA" w:rsidRDefault="00BF30E5" w:rsidP="00247CDA">
            <w:pPr>
              <w:pStyle w:val="ListBullet"/>
            </w:pPr>
            <w:r w:rsidRPr="00247CDA">
              <w:t>relevant codes, standards and government regulations</w:t>
            </w:r>
          </w:p>
          <w:p w:rsidR="00000000" w:rsidRPr="00247CDA" w:rsidRDefault="00BF30E5" w:rsidP="00247CDA">
            <w:pPr>
              <w:pStyle w:val="ListBullet"/>
            </w:pPr>
            <w:r w:rsidRPr="00247CDA">
              <w:t>office equipment, including calculators, photocopiers and telephone systems</w:t>
            </w:r>
          </w:p>
          <w:p w:rsidR="00000000" w:rsidRPr="00247CDA" w:rsidRDefault="00BF30E5" w:rsidP="00247CDA">
            <w:pPr>
              <w:pStyle w:val="ListBullet"/>
            </w:pPr>
            <w:r w:rsidRPr="00247CDA">
              <w:t>computers with appropriate software</w:t>
            </w:r>
            <w:r w:rsidRPr="00247CDA">
              <w:t xml:space="preserve"> to view 2-D CAD drawings, run costing programs and print copies</w:t>
            </w:r>
          </w:p>
          <w:p w:rsidR="00000000" w:rsidRPr="00247CDA" w:rsidRDefault="00BF30E5" w:rsidP="00247CDA">
            <w:pPr>
              <w:pStyle w:val="ListBullet"/>
            </w:pPr>
            <w:r w:rsidRPr="00247CDA">
              <w:t>technical reference library with current publications on measurement, design, building construction and manufacturers' product literature</w:t>
            </w:r>
          </w:p>
          <w:p w:rsidR="00000000" w:rsidRPr="00247CDA" w:rsidRDefault="00BF30E5" w:rsidP="00247CDA">
            <w:pPr>
              <w:pStyle w:val="ListBullet"/>
            </w:pPr>
            <w:r w:rsidRPr="00247CDA">
              <w:t>suitable work area appropriate to the construction pr</w:t>
            </w:r>
            <w:r w:rsidRPr="00247CDA">
              <w:t>ocess.</w:t>
            </w:r>
          </w:p>
          <w:p w:rsidR="00000000" w:rsidRDefault="00BF30E5" w:rsidP="00247CDA">
            <w:pPr>
              <w:pStyle w:val="BodyText"/>
              <w:rPr>
                <w:lang w:val="en-NZ"/>
              </w:rPr>
            </w:pPr>
            <w:r w:rsidRPr="00247CDA">
              <w:t xml:space="preserve">Reasonable adjustments for people with disabilities must be made to assessment processes where required. This could include access to modified equipment and other physical resources, and the provision of appropriate assessment support. </w:t>
            </w:r>
          </w:p>
        </w:tc>
      </w:tr>
      <w:tr w:rsidR="00000000" w:rsidRPr="00247CDA" w:rsidTr="00BF30E5">
        <w:tc>
          <w:tcPr>
            <w:tcW w:w="3500"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lastRenderedPageBreak/>
              <w:t>Method of a</w:t>
            </w:r>
            <w:r w:rsidRPr="00247CDA">
              <w:rPr>
                <w:rStyle w:val="SpecialBold"/>
              </w:rPr>
              <w:t>ssessment</w:t>
            </w:r>
          </w:p>
        </w:tc>
        <w:tc>
          <w:tcPr>
            <w:tcW w:w="5022" w:type="dxa"/>
            <w:tcBorders>
              <w:top w:val="nil"/>
              <w:left w:val="nil"/>
              <w:bottom w:val="nil"/>
              <w:right w:val="nil"/>
            </w:tcBorders>
            <w:tcMar>
              <w:top w:w="0" w:type="dxa"/>
              <w:left w:w="62" w:type="dxa"/>
              <w:bottom w:w="0" w:type="dxa"/>
              <w:right w:w="62" w:type="dxa"/>
            </w:tcMar>
          </w:tcPr>
          <w:p w:rsidR="00000000" w:rsidRPr="00247CDA" w:rsidRDefault="00BF30E5" w:rsidP="00247CDA">
            <w:pPr>
              <w:pStyle w:val="BodyText"/>
            </w:pPr>
            <w:r w:rsidRPr="00247CDA">
              <w:t>Assessment methods must:</w:t>
            </w:r>
          </w:p>
          <w:p w:rsidR="00000000" w:rsidRPr="00247CDA" w:rsidRDefault="00BF30E5" w:rsidP="00247CDA">
            <w:pPr>
              <w:pStyle w:val="ListBullet"/>
            </w:pPr>
            <w:r w:rsidRPr="00247CDA">
              <w:t>satisfy the endorsed Assessment Guidelines of the Construction, Plumbing and Services Training Package</w:t>
            </w:r>
          </w:p>
          <w:p w:rsidR="00000000" w:rsidRPr="00247CDA" w:rsidRDefault="00BF30E5" w:rsidP="00247CDA">
            <w:pPr>
              <w:pStyle w:val="ListBullet"/>
            </w:pPr>
            <w:r w:rsidRPr="00247CDA">
              <w:t>include direct observation of tasks in real or simulated work conditions, with questioning to confirm the ability to c</w:t>
            </w:r>
            <w:r w:rsidRPr="00247CDA">
              <w:t>onsistently identify and correctly interpret the essential underpinning knowledge required for practical application</w:t>
            </w:r>
          </w:p>
          <w:p w:rsidR="00000000" w:rsidRPr="00247CDA" w:rsidRDefault="00BF30E5" w:rsidP="00247CDA">
            <w:pPr>
              <w:pStyle w:val="ListBullet"/>
            </w:pPr>
            <w:r w:rsidRPr="00247CDA">
              <w:t>reinforce the integration of employability skills with workplace tasks and job roles</w:t>
            </w:r>
          </w:p>
          <w:p w:rsidR="00000000" w:rsidRPr="00247CDA" w:rsidRDefault="00BF30E5" w:rsidP="00247CDA">
            <w:pPr>
              <w:pStyle w:val="ListBullet"/>
            </w:pPr>
            <w:r w:rsidRPr="00247CDA">
              <w:t>confirm that competency is verified and able to be tra</w:t>
            </w:r>
            <w:r w:rsidRPr="00247CDA">
              <w:t>nsferred to other circumstances and environments.</w:t>
            </w:r>
          </w:p>
          <w:p w:rsidR="00000000" w:rsidRPr="00247CDA" w:rsidRDefault="00BF30E5" w:rsidP="00247CDA">
            <w:pPr>
              <w:pStyle w:val="BodyText"/>
            </w:pPr>
            <w:r w:rsidRPr="00247CDA">
              <w:t>Validity and sufficiency of evidence requires that:</w:t>
            </w:r>
          </w:p>
          <w:p w:rsidR="00000000" w:rsidRPr="00247CDA" w:rsidRDefault="00BF30E5" w:rsidP="00247CDA">
            <w:pPr>
              <w:pStyle w:val="ListBullet"/>
            </w:pPr>
            <w:r w:rsidRPr="00247CDA">
              <w:t>competency will need to be demonstrated over a period of time reflecting the scope of the role and the practical requirements of the workplace</w:t>
            </w:r>
          </w:p>
          <w:p w:rsidR="00000000" w:rsidRPr="00247CDA" w:rsidRDefault="00BF30E5" w:rsidP="00247CDA">
            <w:pPr>
              <w:pStyle w:val="ListBullet"/>
            </w:pPr>
            <w:r w:rsidRPr="00247CDA">
              <w:t>where the assessment is part of a structured learning experience the evidence collected must relate to a number of performances assessed at different points in time and separated by further learning and practice, with a decision on competency only taken at</w:t>
            </w:r>
            <w:r w:rsidRPr="00247CDA">
              <w:t xml:space="preserve"> the point when the assessor has complete confidence in the person's demonstrated ability and applied knowledge</w:t>
            </w:r>
          </w:p>
          <w:p w:rsidR="00000000" w:rsidRPr="00247CDA" w:rsidRDefault="00BF30E5" w:rsidP="00247CDA">
            <w:pPr>
              <w:pStyle w:val="ListBullet"/>
            </w:pPr>
            <w:r w:rsidRPr="00247CDA">
              <w:t>all assessment that is part of a structured learning experience must include a combination of direct, indirect and supplementary evidence.</w:t>
            </w:r>
          </w:p>
          <w:p w:rsidR="00000000" w:rsidRPr="00247CDA" w:rsidRDefault="00BF30E5" w:rsidP="00247CDA">
            <w:pPr>
              <w:pStyle w:val="BodyText"/>
            </w:pPr>
            <w:r w:rsidRPr="00247CDA">
              <w:t>Asses</w:t>
            </w:r>
            <w:r w:rsidRPr="00247CDA">
              <w:t>sment processes and techniques should as far as is practical take into account the language, literacy and numeracy capacity of the candidate in relation to the competency being assessed.</w:t>
            </w:r>
          </w:p>
          <w:p w:rsidR="00000000" w:rsidRPr="00247CDA" w:rsidRDefault="00BF30E5" w:rsidP="00247CDA">
            <w:pPr>
              <w:pStyle w:val="BodyText"/>
            </w:pPr>
            <w:r w:rsidRPr="00247CDA">
              <w:t>Supplementary evidence of competency may be obtained from relevant au</w:t>
            </w:r>
            <w:r w:rsidRPr="00247CDA">
              <w:t xml:space="preserve">thenticated documentation from third parties, such as existing supervisors, team leaders or specialist training staff. </w:t>
            </w:r>
          </w:p>
        </w:tc>
      </w:tr>
    </w:tbl>
    <w:p w:rsidR="00BF30E5" w:rsidRDefault="00BF30E5" w:rsidP="00247CDA">
      <w:pPr>
        <w:pStyle w:val="BodyText"/>
      </w:pPr>
    </w:p>
    <w:p w:rsidR="00BF30E5" w:rsidRDefault="00BF30E5" w:rsidP="00247CDA">
      <w:pPr>
        <w:pStyle w:val="BodyText"/>
      </w:pPr>
    </w:p>
    <w:p w:rsidR="00000000" w:rsidRPr="00247CDA" w:rsidRDefault="00BF30E5" w:rsidP="00247CDA">
      <w:pPr>
        <w:pStyle w:val="Heading1"/>
      </w:pPr>
      <w:bookmarkStart w:id="11" w:name="O_250088"/>
      <w:bookmarkEnd w:id="11"/>
      <w:r w:rsidRPr="00247CDA">
        <w:t>Range Statement</w:t>
      </w:r>
    </w:p>
    <w:tbl>
      <w:tblPr>
        <w:tblW w:w="0" w:type="auto"/>
        <w:tblLayout w:type="fixed"/>
        <w:tblCellMar>
          <w:left w:w="62" w:type="dxa"/>
          <w:right w:w="62" w:type="dxa"/>
        </w:tblCellMar>
        <w:tblLook w:val="0000" w:firstRow="0" w:lastRow="0" w:firstColumn="0" w:lastColumn="0" w:noHBand="0" w:noVBand="0"/>
      </w:tblPr>
      <w:tblGrid>
        <w:gridCol w:w="3503"/>
        <w:gridCol w:w="5019"/>
      </w:tblGrid>
      <w:tr w:rsidR="00247CDA" w:rsidTr="00BF30E5">
        <w:trPr>
          <w:tblHeader/>
        </w:trPr>
        <w:tc>
          <w:tcPr>
            <w:tcW w:w="8522" w:type="dxa"/>
            <w:gridSpan w:val="2"/>
            <w:tcBorders>
              <w:top w:val="nil"/>
              <w:left w:val="nil"/>
              <w:bottom w:val="single" w:sz="6" w:space="0" w:color="auto"/>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RANGE STATEMENT</w:t>
            </w:r>
          </w:p>
        </w:tc>
      </w:tr>
      <w:tr w:rsidR="00247CDA" w:rsidRPr="00247CDA" w:rsidTr="00BF30E5">
        <w:tc>
          <w:tcPr>
            <w:tcW w:w="8522" w:type="dxa"/>
            <w:gridSpan w:val="2"/>
            <w:tcBorders>
              <w:top w:val="single" w:sz="6" w:space="0" w:color="auto"/>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t>The range statement relates to the unit of competency as a whole. It allows for different work environments and situations that may affect performance. Bold italicised wording, if used in the performance criteria, is detailed below. Essential operating con</w:t>
            </w:r>
            <w:r w:rsidRPr="00247CDA">
              <w:t>ditions that may be present with training and assessment (depending on the work situation, needs of the candidate, accessibility of the item, and local industry and regional contexts) may also be included.</w:t>
            </w:r>
          </w:p>
        </w:tc>
      </w:tr>
      <w:tr w:rsidR="00000000" w:rsidRPr="00247CDA" w:rsidTr="00BF30E5">
        <w:tc>
          <w:tcPr>
            <w:tcW w:w="3503"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BoldandItalics"/>
              </w:rPr>
              <w:t>Structural principles</w:t>
            </w:r>
            <w:r w:rsidRPr="00247CDA">
              <w:t xml:space="preserve"> include: </w:t>
            </w:r>
          </w:p>
        </w:tc>
        <w:tc>
          <w:tcPr>
            <w:tcW w:w="5019"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Bullet"/>
            </w:pPr>
            <w:r w:rsidRPr="00247CDA">
              <w:t>loads and loadin</w:t>
            </w:r>
            <w:r w:rsidRPr="00247CDA">
              <w:t>g</w:t>
            </w:r>
          </w:p>
          <w:p w:rsidR="00000000" w:rsidRPr="00247CDA" w:rsidRDefault="00BF30E5" w:rsidP="00247CDA">
            <w:pPr>
              <w:pStyle w:val="ListBullet"/>
            </w:pPr>
            <w:r w:rsidRPr="00247CDA">
              <w:t>section properties</w:t>
            </w:r>
          </w:p>
          <w:p w:rsidR="00000000" w:rsidRPr="00247CDA" w:rsidRDefault="00BF30E5" w:rsidP="00247CDA">
            <w:pPr>
              <w:pStyle w:val="ListBullet"/>
            </w:pPr>
            <w:r w:rsidRPr="00247CDA">
              <w:t>behaviour of structural materials</w:t>
            </w:r>
          </w:p>
          <w:p w:rsidR="00000000" w:rsidRPr="00247CDA" w:rsidRDefault="00BF30E5" w:rsidP="00247CDA">
            <w:pPr>
              <w:pStyle w:val="ListBullet"/>
            </w:pPr>
            <w:r w:rsidRPr="00247CDA">
              <w:t>performance of beams</w:t>
            </w:r>
          </w:p>
          <w:p w:rsidR="00000000" w:rsidRPr="00247CDA" w:rsidRDefault="00BF30E5" w:rsidP="00247CDA">
            <w:pPr>
              <w:pStyle w:val="ListBullet"/>
            </w:pPr>
            <w:r w:rsidRPr="00247CDA">
              <w:t>performance of columns</w:t>
            </w:r>
          </w:p>
          <w:p w:rsidR="00000000" w:rsidRPr="00247CDA" w:rsidRDefault="00BF30E5" w:rsidP="00247CDA">
            <w:pPr>
              <w:pStyle w:val="ListBullet"/>
            </w:pPr>
            <w:r w:rsidRPr="00247CDA">
              <w:t>performance of roof trusses</w:t>
            </w:r>
          </w:p>
          <w:p w:rsidR="00000000" w:rsidRPr="00247CDA" w:rsidRDefault="00BF30E5" w:rsidP="00247CDA">
            <w:pPr>
              <w:pStyle w:val="ListBullet"/>
            </w:pPr>
            <w:r w:rsidRPr="00247CDA">
              <w:t>principles of formwork</w:t>
            </w:r>
          </w:p>
          <w:p w:rsidR="00000000" w:rsidRPr="00247CDA" w:rsidRDefault="00BF30E5" w:rsidP="00247CDA">
            <w:pPr>
              <w:pStyle w:val="ListBullet"/>
            </w:pPr>
            <w:r w:rsidRPr="00247CDA">
              <w:t>solution of force systems</w:t>
            </w:r>
          </w:p>
          <w:p w:rsidR="00000000" w:rsidRDefault="00BF30E5" w:rsidP="00247CDA">
            <w:pPr>
              <w:pStyle w:val="ListBullet"/>
              <w:rPr>
                <w:lang w:val="en-NZ"/>
              </w:rPr>
            </w:pPr>
            <w:r w:rsidRPr="00247CDA">
              <w:t>wind bracing.</w:t>
            </w:r>
          </w:p>
        </w:tc>
      </w:tr>
      <w:tr w:rsidR="00000000" w:rsidRPr="00247CDA" w:rsidTr="00BF30E5">
        <w:tc>
          <w:tcPr>
            <w:tcW w:w="3503"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BoldandItalics"/>
              </w:rPr>
              <w:t>Low rise</w:t>
            </w:r>
            <w:r w:rsidRPr="00247CDA">
              <w:t xml:space="preserve"> commercial buildings as described within the BCA are: </w:t>
            </w:r>
          </w:p>
        </w:tc>
        <w:tc>
          <w:tcPr>
            <w:tcW w:w="5019"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Bullet"/>
            </w:pPr>
            <w:r w:rsidRPr="00247CDA">
              <w:t>Classes 2 to 9</w:t>
            </w:r>
          </w:p>
          <w:p w:rsidR="00000000" w:rsidRDefault="00BF30E5" w:rsidP="00247CDA">
            <w:pPr>
              <w:pStyle w:val="ListBullet"/>
              <w:rPr>
                <w:lang w:val="en-NZ"/>
              </w:rPr>
            </w:pPr>
            <w:r w:rsidRPr="00247CDA">
              <w:t>with a gross floor area not exceeding 2000 square metres, not including Type A or Type B construction.</w:t>
            </w:r>
          </w:p>
        </w:tc>
      </w:tr>
      <w:tr w:rsidR="00000000" w:rsidRPr="00247CDA" w:rsidTr="00BF30E5">
        <w:tc>
          <w:tcPr>
            <w:tcW w:w="3503"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BoldandItalics"/>
              </w:rPr>
              <w:t>Materials and their related construction methods</w:t>
            </w:r>
            <w:r w:rsidRPr="00247CDA">
              <w:t xml:space="preserve"> may include: </w:t>
            </w:r>
          </w:p>
        </w:tc>
        <w:tc>
          <w:tcPr>
            <w:tcW w:w="5019"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Bullet"/>
            </w:pPr>
            <w:r w:rsidRPr="00247CDA">
              <w:t>brick veneer and cladding over timber-framed and lightweight section steel</w:t>
            </w:r>
            <w:r w:rsidRPr="00247CDA">
              <w:t>-framed construction</w:t>
            </w:r>
          </w:p>
          <w:p w:rsidR="00000000" w:rsidRPr="00247CDA" w:rsidRDefault="00BF30E5" w:rsidP="00247CDA">
            <w:pPr>
              <w:pStyle w:val="ListBullet"/>
            </w:pPr>
            <w:r w:rsidRPr="00247CDA">
              <w:t>cavity brick construction</w:t>
            </w:r>
          </w:p>
          <w:p w:rsidR="00000000" w:rsidRPr="00247CDA" w:rsidRDefault="00BF30E5" w:rsidP="00247CDA">
            <w:pPr>
              <w:pStyle w:val="ListBullet"/>
            </w:pPr>
            <w:r w:rsidRPr="00247CDA">
              <w:t>earth-wall construction</w:t>
            </w:r>
          </w:p>
          <w:p w:rsidR="00000000" w:rsidRPr="00247CDA" w:rsidRDefault="00BF30E5" w:rsidP="00247CDA">
            <w:pPr>
              <w:pStyle w:val="ListBullet"/>
            </w:pPr>
            <w:r w:rsidRPr="00247CDA">
              <w:t>lightweight concrete construction, such as construction of autoclaved aerated concrete (AAC)</w:t>
            </w:r>
          </w:p>
          <w:p w:rsidR="00000000" w:rsidRPr="00247CDA" w:rsidRDefault="00BF30E5" w:rsidP="00247CDA">
            <w:pPr>
              <w:pStyle w:val="ListBullet"/>
            </w:pPr>
            <w:r w:rsidRPr="00247CDA">
              <w:t>pole frame construction</w:t>
            </w:r>
          </w:p>
          <w:p w:rsidR="00000000" w:rsidRPr="00247CDA" w:rsidRDefault="00BF30E5" w:rsidP="00247CDA">
            <w:pPr>
              <w:pStyle w:val="ListBullet"/>
            </w:pPr>
            <w:r w:rsidRPr="00247CDA">
              <w:t>portal frame construction</w:t>
            </w:r>
          </w:p>
          <w:p w:rsidR="00000000" w:rsidRPr="00247CDA" w:rsidRDefault="00BF30E5" w:rsidP="00247CDA">
            <w:pPr>
              <w:pStyle w:val="ListBullet"/>
            </w:pPr>
            <w:r w:rsidRPr="00247CDA">
              <w:t>post and beam construction</w:t>
            </w:r>
          </w:p>
          <w:p w:rsidR="00000000" w:rsidRPr="00247CDA" w:rsidRDefault="00BF30E5" w:rsidP="00247CDA">
            <w:pPr>
              <w:pStyle w:val="ListBullet"/>
            </w:pPr>
            <w:r w:rsidRPr="00247CDA">
              <w:t xml:space="preserve">post and truss </w:t>
            </w:r>
            <w:r w:rsidRPr="00247CDA">
              <w:t>construction</w:t>
            </w:r>
          </w:p>
          <w:p w:rsidR="00000000" w:rsidRPr="00247CDA" w:rsidRDefault="00BF30E5" w:rsidP="00247CDA">
            <w:pPr>
              <w:pStyle w:val="ListBullet"/>
            </w:pPr>
            <w:r w:rsidRPr="00247CDA">
              <w:t>single-leaf (reinforced) masonry construction</w:t>
            </w:r>
          </w:p>
          <w:p w:rsidR="00000000" w:rsidRDefault="00BF30E5" w:rsidP="00247CDA">
            <w:pPr>
              <w:pStyle w:val="ListBullet"/>
              <w:rPr>
                <w:lang w:val="en-NZ"/>
              </w:rPr>
            </w:pPr>
            <w:r w:rsidRPr="00247CDA">
              <w:t>tilt-slab construction.</w:t>
            </w:r>
          </w:p>
        </w:tc>
      </w:tr>
      <w:tr w:rsidR="00000000" w:rsidRPr="00247CDA" w:rsidTr="00BF30E5">
        <w:tc>
          <w:tcPr>
            <w:tcW w:w="3503"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BoldandItalics"/>
              </w:rPr>
              <w:t>Industry professionals</w:t>
            </w:r>
            <w:r w:rsidRPr="00247CDA">
              <w:t xml:space="preserve"> include: </w:t>
            </w:r>
          </w:p>
        </w:tc>
        <w:tc>
          <w:tcPr>
            <w:tcW w:w="5019"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Bullet"/>
            </w:pPr>
            <w:r w:rsidRPr="00247CDA">
              <w:t>architects</w:t>
            </w:r>
          </w:p>
          <w:p w:rsidR="00000000" w:rsidRPr="00247CDA" w:rsidRDefault="00BF30E5" w:rsidP="00247CDA">
            <w:pPr>
              <w:pStyle w:val="ListBullet"/>
            </w:pPr>
            <w:r w:rsidRPr="00247CDA">
              <w:t>draftspersons</w:t>
            </w:r>
          </w:p>
          <w:p w:rsidR="00000000" w:rsidRPr="00247CDA" w:rsidRDefault="00BF30E5" w:rsidP="00247CDA">
            <w:pPr>
              <w:pStyle w:val="ListBullet"/>
            </w:pPr>
            <w:r w:rsidRPr="00247CDA">
              <w:t>engineers</w:t>
            </w:r>
          </w:p>
          <w:p w:rsidR="00000000" w:rsidRPr="00247CDA" w:rsidRDefault="00BF30E5" w:rsidP="00247CDA">
            <w:pPr>
              <w:pStyle w:val="ListBullet"/>
            </w:pPr>
            <w:r w:rsidRPr="00247CDA">
              <w:t>quantity surveyors</w:t>
            </w:r>
          </w:p>
          <w:p w:rsidR="00000000" w:rsidRDefault="00BF30E5" w:rsidP="00247CDA">
            <w:pPr>
              <w:pStyle w:val="ListBullet"/>
              <w:rPr>
                <w:lang w:val="en-NZ"/>
              </w:rPr>
            </w:pPr>
            <w:r w:rsidRPr="00247CDA">
              <w:t>surveyors.</w:t>
            </w:r>
          </w:p>
        </w:tc>
      </w:tr>
      <w:tr w:rsidR="00000000" w:rsidRPr="00247CDA" w:rsidTr="00BF30E5">
        <w:tc>
          <w:tcPr>
            <w:tcW w:w="3503"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BoldandItalics"/>
              </w:rPr>
              <w:lastRenderedPageBreak/>
              <w:t>Project documentation</w:t>
            </w:r>
            <w:r w:rsidRPr="00247CDA">
              <w:t xml:space="preserve"> includes: </w:t>
            </w:r>
          </w:p>
        </w:tc>
        <w:tc>
          <w:tcPr>
            <w:tcW w:w="5019"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Bullet"/>
            </w:pPr>
            <w:r w:rsidRPr="00247CDA">
              <w:t>building approval plans</w:t>
            </w:r>
          </w:p>
          <w:p w:rsidR="00000000" w:rsidRPr="00247CDA" w:rsidRDefault="00BF30E5" w:rsidP="00247CDA">
            <w:pPr>
              <w:pStyle w:val="ListBullet"/>
            </w:pPr>
            <w:r w:rsidRPr="00247CDA">
              <w:t>contract plans</w:t>
            </w:r>
          </w:p>
          <w:p w:rsidR="00000000" w:rsidRPr="00247CDA" w:rsidRDefault="00BF30E5" w:rsidP="00247CDA">
            <w:pPr>
              <w:pStyle w:val="ListBullet"/>
            </w:pPr>
            <w:r w:rsidRPr="00247CDA">
              <w:t>design and specifications</w:t>
            </w:r>
          </w:p>
          <w:p w:rsidR="00000000" w:rsidRPr="00247CDA" w:rsidRDefault="00BF30E5" w:rsidP="00247CDA">
            <w:pPr>
              <w:pStyle w:val="ListBullet"/>
            </w:pPr>
            <w:r w:rsidRPr="00247CDA">
              <w:t>engineer's footing design and specifications</w:t>
            </w:r>
          </w:p>
          <w:p w:rsidR="00000000" w:rsidRPr="00247CDA" w:rsidRDefault="00BF30E5" w:rsidP="00247CDA">
            <w:pPr>
              <w:pStyle w:val="ListBullet"/>
            </w:pPr>
            <w:r w:rsidRPr="00247CDA">
              <w:t>original contour survey plans</w:t>
            </w:r>
          </w:p>
          <w:p w:rsidR="00000000" w:rsidRPr="00247CDA" w:rsidRDefault="00BF30E5" w:rsidP="00247CDA">
            <w:pPr>
              <w:pStyle w:val="ListBullet"/>
            </w:pPr>
            <w:r w:rsidRPr="00247CDA">
              <w:t>registered plans</w:t>
            </w:r>
          </w:p>
          <w:p w:rsidR="00000000" w:rsidRPr="00247CDA" w:rsidRDefault="00BF30E5" w:rsidP="00247CDA">
            <w:pPr>
              <w:pStyle w:val="ListBullet"/>
            </w:pPr>
            <w:r w:rsidRPr="00247CDA">
              <w:t>retaining walls and tanking design and specifications</w:t>
            </w:r>
          </w:p>
          <w:p w:rsidR="00000000" w:rsidRPr="00247CDA" w:rsidRDefault="00BF30E5" w:rsidP="00247CDA">
            <w:pPr>
              <w:pStyle w:val="ListBullet"/>
            </w:pPr>
            <w:r w:rsidRPr="00247CDA">
              <w:t>site plans</w:t>
            </w:r>
          </w:p>
          <w:p w:rsidR="00000000" w:rsidRPr="00247CDA" w:rsidRDefault="00BF30E5" w:rsidP="00247CDA">
            <w:pPr>
              <w:pStyle w:val="ListBullet"/>
            </w:pPr>
            <w:r w:rsidRPr="00247CDA">
              <w:t>soils investigation reports</w:t>
            </w:r>
          </w:p>
          <w:p w:rsidR="00000000" w:rsidRPr="00247CDA" w:rsidRDefault="00BF30E5" w:rsidP="00247CDA">
            <w:pPr>
              <w:pStyle w:val="ListBullet"/>
            </w:pPr>
            <w:r w:rsidRPr="00247CDA">
              <w:t>structural floor systems, wall systems and ro</w:t>
            </w:r>
            <w:r w:rsidRPr="00247CDA">
              <w:t>of systems</w:t>
            </w:r>
          </w:p>
          <w:p w:rsidR="00000000" w:rsidRDefault="00BF30E5" w:rsidP="00247CDA">
            <w:pPr>
              <w:pStyle w:val="ListBullet"/>
              <w:rPr>
                <w:lang w:val="en-NZ"/>
              </w:rPr>
            </w:pPr>
            <w:r w:rsidRPr="00247CDA">
              <w:t>underpinning, rock anchors and shoring design and specifications.</w:t>
            </w:r>
          </w:p>
        </w:tc>
      </w:tr>
      <w:tr w:rsidR="00000000" w:rsidRPr="00247CDA" w:rsidTr="00BF30E5">
        <w:tc>
          <w:tcPr>
            <w:tcW w:w="3503"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BoldandItalics"/>
              </w:rPr>
              <w:t>Footing systems</w:t>
            </w:r>
            <w:r w:rsidRPr="00247CDA">
              <w:t xml:space="preserve"> include: </w:t>
            </w:r>
          </w:p>
        </w:tc>
        <w:tc>
          <w:tcPr>
            <w:tcW w:w="5019"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Bullet"/>
            </w:pPr>
            <w:r w:rsidRPr="00247CDA">
              <w:t>concrete slab floors</w:t>
            </w:r>
          </w:p>
          <w:p w:rsidR="00000000" w:rsidRPr="00247CDA" w:rsidRDefault="00BF30E5" w:rsidP="00247CDA">
            <w:pPr>
              <w:pStyle w:val="ListBullet"/>
            </w:pPr>
            <w:r w:rsidRPr="00247CDA">
              <w:t>drilled or driven piles</w:t>
            </w:r>
          </w:p>
          <w:p w:rsidR="00000000" w:rsidRPr="00247CDA" w:rsidRDefault="00BF30E5" w:rsidP="00247CDA">
            <w:pPr>
              <w:pStyle w:val="ListBullet"/>
            </w:pPr>
            <w:r w:rsidRPr="00247CDA">
              <w:t>mass concrete piers</w:t>
            </w:r>
          </w:p>
          <w:p w:rsidR="00000000" w:rsidRPr="00247CDA" w:rsidRDefault="00BF30E5" w:rsidP="00247CDA">
            <w:pPr>
              <w:pStyle w:val="ListBullet"/>
            </w:pPr>
            <w:r w:rsidRPr="00247CDA">
              <w:t>reinforced concrete piers and beams</w:t>
            </w:r>
          </w:p>
          <w:p w:rsidR="00000000" w:rsidRPr="00247CDA" w:rsidRDefault="00BF30E5" w:rsidP="00247CDA">
            <w:pPr>
              <w:pStyle w:val="ListBullet"/>
            </w:pPr>
            <w:r w:rsidRPr="00247CDA">
              <w:t>screw piles</w:t>
            </w:r>
          </w:p>
          <w:p w:rsidR="00000000" w:rsidRDefault="00BF30E5" w:rsidP="00247CDA">
            <w:pPr>
              <w:pStyle w:val="ListBullet"/>
              <w:rPr>
                <w:lang w:val="en-NZ"/>
              </w:rPr>
            </w:pPr>
            <w:r w:rsidRPr="00247CDA">
              <w:t>waffle pod slabs.</w:t>
            </w:r>
          </w:p>
        </w:tc>
      </w:tr>
      <w:tr w:rsidR="00000000" w:rsidRPr="00247CDA" w:rsidTr="00BF30E5">
        <w:tc>
          <w:tcPr>
            <w:tcW w:w="3503"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BoldandItalics"/>
              </w:rPr>
              <w:t>Structural floor system</w:t>
            </w:r>
            <w:r w:rsidRPr="00247CDA">
              <w:t xml:space="preserve"> includes: </w:t>
            </w:r>
          </w:p>
        </w:tc>
        <w:tc>
          <w:tcPr>
            <w:tcW w:w="5019"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Bullet"/>
            </w:pPr>
            <w:r w:rsidRPr="00247CDA">
              <w:t>brick bases</w:t>
            </w:r>
          </w:p>
          <w:p w:rsidR="00000000" w:rsidRPr="00247CDA" w:rsidRDefault="00BF30E5" w:rsidP="00247CDA">
            <w:pPr>
              <w:pStyle w:val="ListBullet"/>
            </w:pPr>
            <w:r w:rsidRPr="00247CDA">
              <w:t>engineered timber products</w:t>
            </w:r>
          </w:p>
          <w:p w:rsidR="00000000" w:rsidRPr="00247CDA" w:rsidRDefault="00BF30E5" w:rsidP="00247CDA">
            <w:pPr>
              <w:pStyle w:val="ListBullet"/>
            </w:pPr>
            <w:r w:rsidRPr="00247CDA">
              <w:t>panel systems of concrete and AAC</w:t>
            </w:r>
          </w:p>
          <w:p w:rsidR="00000000" w:rsidRPr="00247CDA" w:rsidRDefault="00BF30E5" w:rsidP="00247CDA">
            <w:pPr>
              <w:pStyle w:val="ListBullet"/>
            </w:pPr>
            <w:r w:rsidRPr="00247CDA">
              <w:t>suspended and slab-on-ground concrete slab floors</w:t>
            </w:r>
          </w:p>
          <w:p w:rsidR="00000000" w:rsidRDefault="00BF30E5" w:rsidP="00247CDA">
            <w:pPr>
              <w:pStyle w:val="ListBullet"/>
              <w:rPr>
                <w:lang w:val="en-NZ"/>
              </w:rPr>
            </w:pPr>
            <w:r w:rsidRPr="00247CDA">
              <w:t>timber and steel floor construction.</w:t>
            </w:r>
          </w:p>
        </w:tc>
      </w:tr>
      <w:tr w:rsidR="00000000" w:rsidRPr="00247CDA" w:rsidTr="00BF30E5">
        <w:tc>
          <w:tcPr>
            <w:tcW w:w="3503"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BoldandItalics"/>
              </w:rPr>
              <w:t>Structural wall systems</w:t>
            </w:r>
            <w:r w:rsidRPr="00247CDA">
              <w:t xml:space="preserve"> include: </w:t>
            </w:r>
          </w:p>
        </w:tc>
        <w:tc>
          <w:tcPr>
            <w:tcW w:w="5019"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Bullet"/>
            </w:pPr>
            <w:r w:rsidRPr="00247CDA">
              <w:t xml:space="preserve">composite walls featuring </w:t>
            </w:r>
            <w:r w:rsidRPr="00247CDA">
              <w:t>tilt-slab, post and beam, pole and truss and portal frame</w:t>
            </w:r>
          </w:p>
          <w:p w:rsidR="00000000" w:rsidRPr="00247CDA" w:rsidRDefault="00BF30E5" w:rsidP="00247CDA">
            <w:pPr>
              <w:pStyle w:val="ListBullet"/>
            </w:pPr>
            <w:r w:rsidRPr="00247CDA">
              <w:t>earth walls, including rammed earth and mud brick</w:t>
            </w:r>
          </w:p>
          <w:p w:rsidR="00000000" w:rsidRPr="00247CDA" w:rsidRDefault="00BF30E5" w:rsidP="00247CDA">
            <w:pPr>
              <w:pStyle w:val="ListBullet"/>
            </w:pPr>
            <w:r w:rsidRPr="00247CDA">
              <w:t>framed walls incorporating timber, engineered timber products and lightweight section steel</w:t>
            </w:r>
          </w:p>
          <w:p w:rsidR="00000000" w:rsidRDefault="00BF30E5" w:rsidP="00247CDA">
            <w:pPr>
              <w:pStyle w:val="ListBullet"/>
              <w:rPr>
                <w:lang w:val="en-NZ"/>
              </w:rPr>
            </w:pPr>
            <w:r w:rsidRPr="00247CDA">
              <w:t>masonry walls incorporating cavity brick, single-leaf masonry and lightweight concrete (AAC).</w:t>
            </w:r>
          </w:p>
        </w:tc>
      </w:tr>
      <w:tr w:rsidR="00000000" w:rsidRPr="00247CDA" w:rsidTr="00BF30E5">
        <w:tc>
          <w:tcPr>
            <w:tcW w:w="3503"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BoldandItalics"/>
              </w:rPr>
              <w:t>Wall cladding systems</w:t>
            </w:r>
            <w:r w:rsidRPr="00247CDA">
              <w:t xml:space="preserve"> include: </w:t>
            </w:r>
          </w:p>
        </w:tc>
        <w:tc>
          <w:tcPr>
            <w:tcW w:w="5019"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Bullet"/>
            </w:pPr>
            <w:r w:rsidRPr="00247CDA">
              <w:t>boarding</w:t>
            </w:r>
          </w:p>
          <w:p w:rsidR="00000000" w:rsidRPr="00247CDA" w:rsidRDefault="00BF30E5" w:rsidP="00247CDA">
            <w:pPr>
              <w:pStyle w:val="ListBullet"/>
            </w:pPr>
            <w:r w:rsidRPr="00247CDA">
              <w:t>coatings over base materials</w:t>
            </w:r>
          </w:p>
          <w:p w:rsidR="00000000" w:rsidRPr="00247CDA" w:rsidRDefault="00BF30E5" w:rsidP="00247CDA">
            <w:pPr>
              <w:pStyle w:val="ListBullet"/>
            </w:pPr>
            <w:r w:rsidRPr="00247CDA">
              <w:t>sheeting</w:t>
            </w:r>
          </w:p>
          <w:p w:rsidR="00000000" w:rsidRPr="00247CDA" w:rsidRDefault="00BF30E5" w:rsidP="00247CDA">
            <w:pPr>
              <w:pStyle w:val="ListBullet"/>
            </w:pPr>
            <w:r w:rsidRPr="00247CDA">
              <w:t>tilt-slab</w:t>
            </w:r>
          </w:p>
          <w:p w:rsidR="00000000" w:rsidRDefault="00BF30E5" w:rsidP="00247CDA">
            <w:pPr>
              <w:pStyle w:val="ListBullet"/>
              <w:rPr>
                <w:lang w:val="en-NZ"/>
              </w:rPr>
            </w:pPr>
            <w:r w:rsidRPr="00247CDA">
              <w:t>unfired, fired and autoclaved masonry.</w:t>
            </w:r>
          </w:p>
        </w:tc>
      </w:tr>
      <w:tr w:rsidR="00000000" w:rsidRPr="00247CDA" w:rsidTr="00BF30E5">
        <w:tc>
          <w:tcPr>
            <w:tcW w:w="3503"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BoldandItalics"/>
              </w:rPr>
              <w:lastRenderedPageBreak/>
              <w:t>Relevant services</w:t>
            </w:r>
            <w:r w:rsidRPr="00247CDA">
              <w:t xml:space="preserve"> may include: </w:t>
            </w:r>
          </w:p>
        </w:tc>
        <w:tc>
          <w:tcPr>
            <w:tcW w:w="5019"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Bullet"/>
            </w:pPr>
            <w:r w:rsidRPr="00247CDA">
              <w:t>ducting for heating and cooling</w:t>
            </w:r>
          </w:p>
          <w:p w:rsidR="00000000" w:rsidRPr="00247CDA" w:rsidRDefault="00BF30E5" w:rsidP="00247CDA">
            <w:pPr>
              <w:pStyle w:val="ListBullet"/>
            </w:pPr>
            <w:r w:rsidRPr="00247CDA">
              <w:t>electrical, electronic and communication systems</w:t>
            </w:r>
          </w:p>
          <w:p w:rsidR="00000000" w:rsidRPr="00247CDA" w:rsidRDefault="00BF30E5" w:rsidP="00247CDA">
            <w:pPr>
              <w:pStyle w:val="ListBullet"/>
            </w:pPr>
            <w:r w:rsidRPr="00247CDA">
              <w:t>extractive vacuum and exhaust systems</w:t>
            </w:r>
          </w:p>
          <w:p w:rsidR="00000000" w:rsidRPr="00247CDA" w:rsidRDefault="00BF30E5" w:rsidP="00247CDA">
            <w:pPr>
              <w:pStyle w:val="ListBullet"/>
            </w:pPr>
            <w:r w:rsidRPr="00247CDA">
              <w:t>passive and active fire detection and prevention systems</w:t>
            </w:r>
          </w:p>
          <w:p w:rsidR="00000000" w:rsidRPr="00247CDA" w:rsidRDefault="00BF30E5" w:rsidP="00247CDA">
            <w:pPr>
              <w:pStyle w:val="ListBullet"/>
            </w:pPr>
            <w:r w:rsidRPr="00247CDA">
              <w:t>plumbing and drainage</w:t>
            </w:r>
          </w:p>
          <w:p w:rsidR="00000000" w:rsidRPr="00247CDA" w:rsidRDefault="00BF30E5" w:rsidP="00247CDA">
            <w:pPr>
              <w:pStyle w:val="ListBullet"/>
            </w:pPr>
            <w:r w:rsidRPr="00247CDA">
              <w:t>powered systems for operating doors and windows</w:t>
            </w:r>
          </w:p>
          <w:p w:rsidR="00000000" w:rsidRDefault="00BF30E5" w:rsidP="00247CDA">
            <w:pPr>
              <w:pStyle w:val="ListBullet"/>
              <w:rPr>
                <w:lang w:val="en-NZ"/>
              </w:rPr>
            </w:pPr>
            <w:r w:rsidRPr="00247CDA">
              <w:t>smoke cont</w:t>
            </w:r>
            <w:r w:rsidRPr="00247CDA">
              <w:t>rol and containment systems.</w:t>
            </w:r>
          </w:p>
        </w:tc>
      </w:tr>
      <w:tr w:rsidR="00000000" w:rsidRPr="00247CDA" w:rsidTr="00BF30E5">
        <w:tc>
          <w:tcPr>
            <w:tcW w:w="3503"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BoldandItalics"/>
              </w:rPr>
              <w:t>Structural roof system</w:t>
            </w:r>
            <w:r w:rsidRPr="00247CDA">
              <w:t xml:space="preserve"> includes: </w:t>
            </w:r>
          </w:p>
        </w:tc>
        <w:tc>
          <w:tcPr>
            <w:tcW w:w="5019"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Bullet"/>
            </w:pPr>
            <w:r w:rsidRPr="00247CDA">
              <w:t>for roof types including:</w:t>
            </w:r>
          </w:p>
          <w:p w:rsidR="00000000" w:rsidRPr="00247CDA" w:rsidRDefault="00BF30E5" w:rsidP="00247CDA">
            <w:pPr>
              <w:pStyle w:val="ListBullet2"/>
            </w:pPr>
            <w:r w:rsidRPr="00247CDA">
              <w:t>gable including dual pitch</w:t>
            </w:r>
          </w:p>
          <w:p w:rsidR="00000000" w:rsidRPr="00247CDA" w:rsidRDefault="00BF30E5" w:rsidP="00247CDA">
            <w:pPr>
              <w:pStyle w:val="ListBullet2"/>
            </w:pPr>
            <w:r w:rsidRPr="00247CDA">
              <w:t>hip</w:t>
            </w:r>
          </w:p>
          <w:p w:rsidR="00000000" w:rsidRPr="00247CDA" w:rsidRDefault="00BF30E5" w:rsidP="00247CDA">
            <w:pPr>
              <w:pStyle w:val="ListBullet2"/>
            </w:pPr>
            <w:r w:rsidRPr="00247CDA">
              <w:t>north light</w:t>
            </w:r>
          </w:p>
          <w:p w:rsidR="00000000" w:rsidRPr="00247CDA" w:rsidRDefault="00BF30E5" w:rsidP="00247CDA">
            <w:pPr>
              <w:pStyle w:val="ListBullet2"/>
            </w:pPr>
            <w:r w:rsidRPr="00247CDA">
              <w:t>rafter and purlin</w:t>
            </w:r>
          </w:p>
          <w:p w:rsidR="00000000" w:rsidRPr="00247CDA" w:rsidRDefault="00BF30E5" w:rsidP="00247CDA">
            <w:pPr>
              <w:pStyle w:val="ListBullet2"/>
            </w:pPr>
            <w:r w:rsidRPr="00247CDA">
              <w:t>skillion</w:t>
            </w:r>
          </w:p>
          <w:p w:rsidR="00000000" w:rsidRDefault="00BF30E5" w:rsidP="00247CDA">
            <w:pPr>
              <w:pStyle w:val="ListBullet"/>
              <w:rPr>
                <w:lang w:val="en-NZ"/>
              </w:rPr>
            </w:pPr>
            <w:r w:rsidRPr="00247CDA">
              <w:t>prefabricated and site fabricated trussed roof framing.</w:t>
            </w:r>
          </w:p>
        </w:tc>
      </w:tr>
      <w:tr w:rsidR="00000000" w:rsidRPr="00247CDA" w:rsidTr="00BF30E5">
        <w:tc>
          <w:tcPr>
            <w:tcW w:w="3503"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BoldandItalics"/>
              </w:rPr>
              <w:t>Roof cladding system</w:t>
            </w:r>
            <w:r w:rsidRPr="00247CDA">
              <w:t xml:space="preserve"> includes: </w:t>
            </w:r>
          </w:p>
        </w:tc>
        <w:tc>
          <w:tcPr>
            <w:tcW w:w="5019" w:type="dxa"/>
            <w:tcBorders>
              <w:top w:val="nil"/>
              <w:left w:val="nil"/>
              <w:bottom w:val="nil"/>
              <w:right w:val="nil"/>
            </w:tcBorders>
            <w:tcMar>
              <w:top w:w="0" w:type="dxa"/>
              <w:left w:w="62" w:type="dxa"/>
              <w:bottom w:w="0" w:type="dxa"/>
              <w:right w:w="62" w:type="dxa"/>
            </w:tcMar>
          </w:tcPr>
          <w:p w:rsidR="00000000" w:rsidRPr="00247CDA" w:rsidRDefault="00BF30E5" w:rsidP="00247CDA">
            <w:pPr>
              <w:pStyle w:val="ListBullet"/>
            </w:pPr>
            <w:r w:rsidRPr="00247CDA">
              <w:t>concrete, clay and metal tiles</w:t>
            </w:r>
          </w:p>
          <w:p w:rsidR="00000000" w:rsidRPr="00247CDA" w:rsidRDefault="00BF30E5" w:rsidP="00247CDA">
            <w:pPr>
              <w:pStyle w:val="ListBullet"/>
            </w:pPr>
            <w:r w:rsidRPr="00247CDA">
              <w:t>shakes and shingles</w:t>
            </w:r>
          </w:p>
          <w:p w:rsidR="00000000" w:rsidRPr="00247CDA" w:rsidRDefault="00BF30E5" w:rsidP="00247CDA">
            <w:pPr>
              <w:pStyle w:val="ListBullet"/>
            </w:pPr>
            <w:r w:rsidRPr="00247CDA">
              <w:t>short and long run metal sheeting.</w:t>
            </w:r>
          </w:p>
        </w:tc>
      </w:tr>
    </w:tbl>
    <w:p w:rsidR="00BF30E5" w:rsidRDefault="00BF30E5" w:rsidP="00247CDA">
      <w:pPr>
        <w:pStyle w:val="BodyText"/>
      </w:pPr>
    </w:p>
    <w:p w:rsidR="00BF30E5" w:rsidRDefault="00BF30E5" w:rsidP="00247CDA">
      <w:pPr>
        <w:pStyle w:val="BodyText"/>
      </w:pPr>
    </w:p>
    <w:p w:rsidR="00000000" w:rsidRPr="00247CDA" w:rsidRDefault="00BF30E5" w:rsidP="00247CDA">
      <w:pPr>
        <w:pStyle w:val="Heading1"/>
      </w:pPr>
      <w:bookmarkStart w:id="12" w:name="O_196722"/>
      <w:bookmarkEnd w:id="12"/>
      <w:r w:rsidRPr="00247CDA">
        <w:t>Unit Sector(s)</w:t>
      </w:r>
    </w:p>
    <w:tbl>
      <w:tblPr>
        <w:tblW w:w="0" w:type="auto"/>
        <w:tblLayout w:type="fixed"/>
        <w:tblCellMar>
          <w:left w:w="62" w:type="dxa"/>
          <w:right w:w="62" w:type="dxa"/>
        </w:tblCellMar>
        <w:tblLook w:val="0000" w:firstRow="0" w:lastRow="0" w:firstColumn="0" w:lastColumn="0" w:noHBand="0" w:noVBand="0"/>
      </w:tblPr>
      <w:tblGrid>
        <w:gridCol w:w="2597"/>
        <w:gridCol w:w="5925"/>
      </w:tblGrid>
      <w:tr w:rsidR="00000000" w:rsidRPr="00247CDA" w:rsidTr="00BF30E5">
        <w:trPr>
          <w:tblHeader/>
        </w:trPr>
        <w:tc>
          <w:tcPr>
            <w:tcW w:w="2597"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Unit sector</w:t>
            </w:r>
          </w:p>
        </w:tc>
        <w:tc>
          <w:tcPr>
            <w:tcW w:w="5925" w:type="dxa"/>
            <w:tcBorders>
              <w:top w:val="nil"/>
              <w:left w:val="nil"/>
              <w:bottom w:val="nil"/>
              <w:right w:val="nil"/>
            </w:tcBorders>
            <w:tcMar>
              <w:top w:w="0" w:type="dxa"/>
              <w:left w:w="62" w:type="dxa"/>
              <w:bottom w:w="0" w:type="dxa"/>
              <w:right w:w="62" w:type="dxa"/>
            </w:tcMar>
          </w:tcPr>
          <w:p w:rsidR="00000000" w:rsidRPr="00247CDA" w:rsidRDefault="00BF30E5" w:rsidP="00247CDA">
            <w:pPr>
              <w:pStyle w:val="BodyText"/>
            </w:pPr>
            <w:r w:rsidRPr="00247CDA">
              <w:t>Construction</w:t>
            </w:r>
          </w:p>
        </w:tc>
      </w:tr>
    </w:tbl>
    <w:p w:rsidR="00BF30E5" w:rsidRDefault="00BF30E5" w:rsidP="00247CDA">
      <w:pPr>
        <w:pStyle w:val="BodyText"/>
      </w:pPr>
    </w:p>
    <w:p w:rsidR="00BF30E5" w:rsidRDefault="00BF30E5" w:rsidP="00247CDA">
      <w:pPr>
        <w:pStyle w:val="BodyText"/>
      </w:pPr>
    </w:p>
    <w:p w:rsidR="00000000" w:rsidRPr="00247CDA" w:rsidRDefault="00BF30E5" w:rsidP="00247CDA">
      <w:pPr>
        <w:pStyle w:val="Heading1"/>
      </w:pPr>
      <w:bookmarkStart w:id="13" w:name="O_196719"/>
      <w:bookmarkEnd w:id="13"/>
      <w:r w:rsidRPr="00247CDA">
        <w:t>Co-requisite units</w:t>
      </w:r>
    </w:p>
    <w:tbl>
      <w:tblPr>
        <w:tblW w:w="0" w:type="auto"/>
        <w:tblLayout w:type="fixed"/>
        <w:tblCellMar>
          <w:left w:w="62" w:type="dxa"/>
          <w:right w:w="62" w:type="dxa"/>
        </w:tblCellMar>
        <w:tblLook w:val="0000" w:firstRow="0" w:lastRow="0" w:firstColumn="0" w:lastColumn="0" w:noHBand="0" w:noVBand="0"/>
      </w:tblPr>
      <w:tblGrid>
        <w:gridCol w:w="2614"/>
        <w:gridCol w:w="5908"/>
      </w:tblGrid>
      <w:tr w:rsidR="00000000" w:rsidRPr="00247CDA" w:rsidTr="00BF30E5">
        <w:trPr>
          <w:tblHeader/>
        </w:trPr>
        <w:tc>
          <w:tcPr>
            <w:tcW w:w="2614"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Co-requisite units</w:t>
            </w:r>
          </w:p>
        </w:tc>
        <w:tc>
          <w:tcPr>
            <w:tcW w:w="5908" w:type="dxa"/>
            <w:tcBorders>
              <w:top w:val="nil"/>
              <w:left w:val="nil"/>
              <w:bottom w:val="nil"/>
              <w:right w:val="nil"/>
            </w:tcBorders>
            <w:tcMar>
              <w:top w:w="0" w:type="dxa"/>
              <w:left w:w="62" w:type="dxa"/>
              <w:bottom w:w="0" w:type="dxa"/>
              <w:right w:w="62" w:type="dxa"/>
            </w:tcMar>
          </w:tcPr>
          <w:p w:rsidR="00000000" w:rsidRPr="00247CDA" w:rsidRDefault="00BF30E5" w:rsidP="00247CDA">
            <w:pPr>
              <w:pStyle w:val="BodyText"/>
            </w:pPr>
            <w:r w:rsidRPr="00247CDA">
              <w:t>Nil</w:t>
            </w:r>
          </w:p>
        </w:tc>
      </w:tr>
    </w:tbl>
    <w:p w:rsidR="00BF30E5" w:rsidRDefault="00BF30E5" w:rsidP="00247CDA">
      <w:pPr>
        <w:pStyle w:val="BodyText"/>
      </w:pPr>
    </w:p>
    <w:p w:rsidR="00BF30E5" w:rsidRDefault="00BF30E5" w:rsidP="00247CDA">
      <w:pPr>
        <w:pStyle w:val="BodyText"/>
      </w:pPr>
    </w:p>
    <w:p w:rsidR="00000000" w:rsidRPr="00247CDA" w:rsidRDefault="00BF30E5" w:rsidP="00247CDA">
      <w:pPr>
        <w:pStyle w:val="Heading1"/>
      </w:pPr>
      <w:bookmarkStart w:id="14" w:name="O_196721"/>
      <w:bookmarkEnd w:id="14"/>
      <w:r w:rsidRPr="00247CDA">
        <w:t>Functional area</w:t>
      </w:r>
    </w:p>
    <w:tbl>
      <w:tblPr>
        <w:tblW w:w="0" w:type="auto"/>
        <w:tblLayout w:type="fixed"/>
        <w:tblCellMar>
          <w:left w:w="62" w:type="dxa"/>
          <w:right w:w="62" w:type="dxa"/>
        </w:tblCellMar>
        <w:tblLook w:val="0000" w:firstRow="0" w:lastRow="0" w:firstColumn="0" w:lastColumn="0" w:noHBand="0" w:noVBand="0"/>
      </w:tblPr>
      <w:tblGrid>
        <w:gridCol w:w="2729"/>
        <w:gridCol w:w="5793"/>
      </w:tblGrid>
      <w:tr w:rsidR="00000000" w:rsidRPr="00247CDA" w:rsidTr="00BF30E5">
        <w:trPr>
          <w:tblHeader/>
        </w:trPr>
        <w:tc>
          <w:tcPr>
            <w:tcW w:w="2729" w:type="dxa"/>
            <w:tcBorders>
              <w:top w:val="nil"/>
              <w:left w:val="nil"/>
              <w:bottom w:val="nil"/>
              <w:right w:val="nil"/>
            </w:tcBorders>
            <w:tcMar>
              <w:top w:w="0" w:type="dxa"/>
              <w:left w:w="62" w:type="dxa"/>
              <w:bottom w:w="0" w:type="dxa"/>
              <w:right w:w="62" w:type="dxa"/>
            </w:tcMar>
          </w:tcPr>
          <w:p w:rsidR="00000000" w:rsidRDefault="00BF30E5" w:rsidP="00247CDA">
            <w:pPr>
              <w:pStyle w:val="BodyText"/>
              <w:rPr>
                <w:lang w:val="en-NZ"/>
              </w:rPr>
            </w:pPr>
            <w:r w:rsidRPr="00247CDA">
              <w:rPr>
                <w:rStyle w:val="SpecialBold"/>
              </w:rPr>
              <w:t>Functional area</w:t>
            </w:r>
          </w:p>
        </w:tc>
        <w:tc>
          <w:tcPr>
            <w:tcW w:w="5793" w:type="dxa"/>
            <w:tcBorders>
              <w:top w:val="nil"/>
              <w:left w:val="nil"/>
              <w:bottom w:val="nil"/>
              <w:right w:val="nil"/>
            </w:tcBorders>
            <w:tcMar>
              <w:top w:w="0" w:type="dxa"/>
              <w:left w:w="62" w:type="dxa"/>
              <w:bottom w:w="0" w:type="dxa"/>
              <w:right w:w="62" w:type="dxa"/>
            </w:tcMar>
          </w:tcPr>
          <w:p w:rsidR="00000000" w:rsidRPr="00247CDA" w:rsidRDefault="00BF30E5" w:rsidP="00247CDA">
            <w:pPr>
              <w:pStyle w:val="BodyText"/>
            </w:pPr>
          </w:p>
        </w:tc>
      </w:tr>
    </w:tbl>
    <w:p w:rsidR="00BF30E5" w:rsidRDefault="00BF30E5" w:rsidP="00247CDA">
      <w:pPr>
        <w:pStyle w:val="BodyText"/>
      </w:pPr>
    </w:p>
    <w:p w:rsidR="00BF30E5" w:rsidRDefault="00BF30E5" w:rsidP="00247CDA">
      <w:pPr>
        <w:pStyle w:val="BodyText"/>
      </w:pPr>
    </w:p>
    <w:p w:rsidR="00000000" w:rsidRPr="00247CDA" w:rsidRDefault="00BF30E5" w:rsidP="00247CDA"/>
    <w:sectPr w:rsidR="00000000" w:rsidRPr="00247CDA" w:rsidSect="00247CDA">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30E5">
      <w:r>
        <w:separator/>
      </w:r>
    </w:p>
  </w:endnote>
  <w:endnote w:type="continuationSeparator" w:id="0">
    <w:p w:rsidR="00000000" w:rsidRDefault="00BF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DA" w:rsidRDefault="00247CDA">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F30E5" w:rsidRDefault="00BF30E5" w:rsidP="00BF30E5">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DA" w:rsidRDefault="00247CDA">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E5" w:rsidRDefault="00BF30E5" w:rsidP="00247CDA">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13</w:t>
      </w:r>
    </w:fldSimple>
  </w:p>
  <w:p w:rsidR="00BF30E5" w:rsidRDefault="00BF30E5" w:rsidP="00247CDA">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Construction &amp; Property Services Industry Skills Council</w:t>
      </w:r>
    </w:fldSimple>
  </w:p>
  <w:p w:rsidR="00BF30E5" w:rsidRDefault="00BF30E5" w:rsidP="00247CDA">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30E5">
      <w:r>
        <w:separator/>
      </w:r>
    </w:p>
  </w:footnote>
  <w:footnote w:type="continuationSeparator" w:id="0">
    <w:p w:rsidR="00000000" w:rsidRDefault="00BF3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DA" w:rsidRDefault="00247CDA">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DA" w:rsidRPr="00BF30E5" w:rsidRDefault="00BF30E5" w:rsidP="00BF30E5">
    <w:pPr>
      <w:pStyle w:val="BodyText"/>
    </w:pPr>
    <w:r>
      <w:rPr>
        <w:noProof/>
        <w:lang w:eastAsia="en-AU"/>
      </w:rPr>
      <w:drawing>
        <wp:anchor distT="0" distB="0" distL="114300" distR="114300" simplePos="0" relativeHeight="251659264" behindDoc="1" locked="0" layoutInCell="1" allowOverlap="1" wp14:anchorId="5225939C" wp14:editId="069CB6DF">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DA" w:rsidRDefault="00247CDA">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E5" w:rsidRPr="002D2AF8" w:rsidRDefault="00BF30E5" w:rsidP="00247CDA">
    <w:pPr>
      <w:pStyle w:val="Header"/>
      <w:framePr w:wrap="around"/>
    </w:pPr>
    <w:fldSimple w:instr=" TITLE   \* MERGEFORMAT ">
      <w:r>
        <w:t>CPCCBC4011B Apply structural principles to commercial low rise constructions</w:t>
      </w:r>
    </w:fldSimple>
    <w:r>
      <w:tab/>
      <w:t xml:space="preserve">Date this document was generated: </w:t>
    </w:r>
    <w:r>
      <w:fldChar w:fldCharType="begin"/>
    </w:r>
    <w:r>
      <w:instrText xml:space="preserve"> CREATEDATE  \@ "d MMMM yyyy"  \* MERGEFORMAT </w:instrText>
    </w:r>
    <w:r>
      <w:fldChar w:fldCharType="separate"/>
    </w:r>
    <w:r>
      <w:rPr>
        <w:noProof/>
      </w:rPr>
      <w:t>6 October 2012</w:t>
    </w:r>
    <w:r>
      <w:fldChar w:fldCharType="end"/>
    </w:r>
  </w:p>
  <w:p w:rsidR="00BF30E5" w:rsidRDefault="00BF30E5" w:rsidP="00247CDA">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8B1412C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5986CDA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9DA66036"/>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47CDA"/>
    <w:rsid w:val="00247CDA"/>
    <w:rsid w:val="00BF3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DA"/>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247CDA"/>
    <w:pPr>
      <w:spacing w:before="360" w:after="60"/>
      <w:outlineLvl w:val="0"/>
    </w:pPr>
    <w:rPr>
      <w:sz w:val="32"/>
    </w:rPr>
  </w:style>
  <w:style w:type="paragraph" w:styleId="Heading2">
    <w:name w:val="heading 2"/>
    <w:basedOn w:val="HeadingBase"/>
    <w:next w:val="BodyText"/>
    <w:link w:val="Heading2Char"/>
    <w:qFormat/>
    <w:rsid w:val="00247CDA"/>
    <w:pPr>
      <w:keepLines/>
      <w:spacing w:before="240" w:after="120"/>
      <w:outlineLvl w:val="1"/>
    </w:pPr>
    <w:rPr>
      <w:sz w:val="28"/>
      <w:szCs w:val="40"/>
    </w:rPr>
  </w:style>
  <w:style w:type="paragraph" w:styleId="Heading3">
    <w:name w:val="heading 3"/>
    <w:basedOn w:val="HeadingBase"/>
    <w:next w:val="BodyText"/>
    <w:link w:val="Heading3Char"/>
    <w:qFormat/>
    <w:rsid w:val="00247CDA"/>
    <w:pPr>
      <w:spacing w:before="180" w:after="120"/>
      <w:outlineLvl w:val="2"/>
    </w:pPr>
    <w:rPr>
      <w:spacing w:val="-10"/>
      <w:kern w:val="32"/>
    </w:rPr>
  </w:style>
  <w:style w:type="paragraph" w:styleId="Heading4">
    <w:name w:val="heading 4"/>
    <w:basedOn w:val="HeadingBase"/>
    <w:next w:val="BodyText"/>
    <w:link w:val="Heading4Char"/>
    <w:qFormat/>
    <w:rsid w:val="00247CDA"/>
    <w:pPr>
      <w:spacing w:before="160" w:after="120"/>
      <w:outlineLvl w:val="3"/>
    </w:pPr>
    <w:rPr>
      <w:sz w:val="22"/>
    </w:rPr>
  </w:style>
  <w:style w:type="paragraph" w:styleId="Heading5">
    <w:name w:val="heading 5"/>
    <w:basedOn w:val="HeadingBase"/>
    <w:next w:val="Normal"/>
    <w:link w:val="Heading5Char"/>
    <w:qFormat/>
    <w:rsid w:val="00247CDA"/>
    <w:pPr>
      <w:spacing w:before="80"/>
      <w:outlineLvl w:val="4"/>
    </w:pPr>
    <w:rPr>
      <w:color w:val="918585"/>
      <w:sz w:val="20"/>
    </w:rPr>
  </w:style>
  <w:style w:type="paragraph" w:styleId="Heading6">
    <w:name w:val="heading 6"/>
    <w:basedOn w:val="HeadingBase"/>
    <w:next w:val="Normal"/>
    <w:link w:val="Heading6Char"/>
    <w:qFormat/>
    <w:rsid w:val="00247CDA"/>
    <w:pPr>
      <w:spacing w:before="60"/>
      <w:outlineLvl w:val="5"/>
    </w:pPr>
    <w:rPr>
      <w:color w:val="918585"/>
      <w:sz w:val="20"/>
    </w:rPr>
  </w:style>
  <w:style w:type="paragraph" w:styleId="Heading7">
    <w:name w:val="heading 7"/>
    <w:basedOn w:val="Normal"/>
    <w:next w:val="Normal"/>
    <w:link w:val="Heading7Char"/>
    <w:qFormat/>
    <w:rsid w:val="00247CDA"/>
    <w:pPr>
      <w:ind w:left="720"/>
      <w:outlineLvl w:val="6"/>
    </w:pPr>
    <w:rPr>
      <w:i/>
    </w:rPr>
  </w:style>
  <w:style w:type="paragraph" w:styleId="Heading8">
    <w:name w:val="heading 8"/>
    <w:basedOn w:val="Normal"/>
    <w:next w:val="Normal"/>
    <w:link w:val="Heading8Char"/>
    <w:qFormat/>
    <w:rsid w:val="00247CDA"/>
    <w:pPr>
      <w:ind w:left="720"/>
      <w:outlineLvl w:val="7"/>
    </w:pPr>
    <w:rPr>
      <w:i/>
    </w:rPr>
  </w:style>
  <w:style w:type="paragraph" w:styleId="Heading9">
    <w:name w:val="heading 9"/>
    <w:basedOn w:val="Normal"/>
    <w:next w:val="Normal"/>
    <w:link w:val="Heading9Char"/>
    <w:qFormat/>
    <w:rsid w:val="00247CDA"/>
    <w:pPr>
      <w:ind w:left="720"/>
      <w:outlineLvl w:val="8"/>
    </w:pPr>
    <w:rPr>
      <w:i/>
    </w:rPr>
  </w:style>
  <w:style w:type="character" w:default="1" w:styleId="DefaultParagraphFont">
    <w:name w:val="Default Paragraph Font"/>
    <w:uiPriority w:val="1"/>
    <w:unhideWhenUsed/>
    <w:rsid w:val="00247C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CDA"/>
  </w:style>
  <w:style w:type="character" w:customStyle="1" w:styleId="Heading1Char">
    <w:name w:val="Heading 1 Char"/>
    <w:basedOn w:val="DefaultParagraphFont"/>
    <w:link w:val="Heading1"/>
    <w:rsid w:val="00247CDA"/>
    <w:rPr>
      <w:rFonts w:ascii="Times New Roman" w:eastAsia="Times New Roman" w:hAnsi="Times New Roman" w:cs="Times New Roman"/>
      <w:b/>
      <w:sz w:val="32"/>
      <w:szCs w:val="20"/>
      <w:lang w:eastAsia="en-US"/>
    </w:rPr>
  </w:style>
  <w:style w:type="paragraph" w:styleId="BodyText">
    <w:name w:val="Body Text"/>
    <w:basedOn w:val="Normal"/>
    <w:link w:val="BodyTextChar"/>
    <w:rsid w:val="00247CDA"/>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247CDA"/>
    <w:rPr>
      <w:rFonts w:ascii="Times New Roman" w:eastAsia="Times New Roman" w:hAnsi="Times New Roman" w:cs="Times New Roman"/>
      <w:sz w:val="24"/>
      <w:lang w:eastAsia="en-US"/>
    </w:rPr>
  </w:style>
  <w:style w:type="paragraph" w:styleId="Footer">
    <w:name w:val="footer"/>
    <w:basedOn w:val="Normal"/>
    <w:link w:val="FooterChar"/>
    <w:rsid w:val="00247CDA"/>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247CDA"/>
    <w:rPr>
      <w:rFonts w:ascii="Times New Roman" w:eastAsia="Times New Roman" w:hAnsi="Times New Roman" w:cs="Times New Roman"/>
      <w:sz w:val="16"/>
      <w:lang w:eastAsia="en-US"/>
    </w:rPr>
  </w:style>
  <w:style w:type="paragraph" w:styleId="List">
    <w:name w:val="List"/>
    <w:basedOn w:val="BodyText"/>
    <w:next w:val="BodyText"/>
    <w:rsid w:val="00247CDA"/>
    <w:pPr>
      <w:tabs>
        <w:tab w:val="left" w:pos="340"/>
      </w:tabs>
      <w:spacing w:before="60" w:after="60"/>
      <w:ind w:left="340" w:hanging="340"/>
    </w:pPr>
  </w:style>
  <w:style w:type="paragraph" w:styleId="ListBullet">
    <w:name w:val="List Bullet"/>
    <w:basedOn w:val="List"/>
    <w:rsid w:val="00247CDA"/>
    <w:pPr>
      <w:numPr>
        <w:numId w:val="13"/>
      </w:numPr>
      <w:tabs>
        <w:tab w:val="clear" w:pos="340"/>
      </w:tabs>
      <w:spacing w:before="40" w:after="40"/>
    </w:pPr>
  </w:style>
  <w:style w:type="character" w:customStyle="1" w:styleId="SpecialBold">
    <w:name w:val="Special Bold"/>
    <w:basedOn w:val="DefaultParagraphFont"/>
    <w:rsid w:val="00247CDA"/>
    <w:rPr>
      <w:b/>
      <w:spacing w:val="0"/>
    </w:rPr>
  </w:style>
  <w:style w:type="paragraph" w:styleId="ListBullet2">
    <w:name w:val="List Bullet 2"/>
    <w:basedOn w:val="List2"/>
    <w:rsid w:val="00247CDA"/>
    <w:pPr>
      <w:numPr>
        <w:numId w:val="14"/>
      </w:numPr>
      <w:tabs>
        <w:tab w:val="clear" w:pos="680"/>
      </w:tabs>
    </w:pPr>
  </w:style>
  <w:style w:type="paragraph" w:customStyle="1" w:styleId="SuperHeading">
    <w:name w:val="SuperHeading"/>
    <w:basedOn w:val="Normal"/>
    <w:rsid w:val="00247CDA"/>
    <w:pPr>
      <w:spacing w:before="240" w:after="120"/>
      <w:outlineLvl w:val="0"/>
    </w:pPr>
    <w:rPr>
      <w:rFonts w:ascii="Times New Roman" w:hAnsi="Times New Roman"/>
      <w:b/>
      <w:sz w:val="28"/>
    </w:rPr>
  </w:style>
  <w:style w:type="paragraph" w:customStyle="1" w:styleId="AllowPageBreak">
    <w:name w:val="AllowPageBreak"/>
    <w:rsid w:val="00247CDA"/>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247CDA"/>
    <w:pPr>
      <w:tabs>
        <w:tab w:val="left" w:pos="680"/>
      </w:tabs>
      <w:spacing w:before="60" w:after="60"/>
      <w:ind w:left="680" w:hanging="340"/>
    </w:pPr>
  </w:style>
  <w:style w:type="character" w:customStyle="1" w:styleId="BoldandItalics">
    <w:name w:val="Bold and Italics"/>
    <w:qFormat/>
    <w:rsid w:val="00247CDA"/>
    <w:rPr>
      <w:b/>
      <w:i/>
      <w:u w:val="none"/>
    </w:rPr>
  </w:style>
  <w:style w:type="character" w:customStyle="1" w:styleId="Heading2Char">
    <w:name w:val="Heading 2 Char"/>
    <w:basedOn w:val="DefaultParagraphFont"/>
    <w:link w:val="Heading2"/>
    <w:rsid w:val="00247CDA"/>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247CDA"/>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247CDA"/>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247CDA"/>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247CDA"/>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247CDA"/>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247CDA"/>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247CDA"/>
    <w:rPr>
      <w:rFonts w:ascii="Courier New" w:eastAsia="Times New Roman" w:hAnsi="Courier New" w:cs="Times New Roman"/>
      <w:i/>
      <w:szCs w:val="20"/>
      <w:lang w:eastAsia="en-US"/>
    </w:rPr>
  </w:style>
  <w:style w:type="paragraph" w:customStyle="1" w:styleId="HeadingBase">
    <w:name w:val="Heading Base"/>
    <w:rsid w:val="00247CDA"/>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247CDA"/>
    <w:pPr>
      <w:tabs>
        <w:tab w:val="right" w:leader="dot" w:pos="9072"/>
      </w:tabs>
      <w:ind w:left="567"/>
    </w:pPr>
    <w:rPr>
      <w:szCs w:val="22"/>
    </w:rPr>
  </w:style>
  <w:style w:type="paragraph" w:customStyle="1" w:styleId="TOCBase">
    <w:name w:val="TOC Base"/>
    <w:rsid w:val="00247CDA"/>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247CDA"/>
    <w:pPr>
      <w:tabs>
        <w:tab w:val="right" w:leader="dot" w:pos="9072"/>
      </w:tabs>
      <w:spacing w:before="40" w:after="40"/>
      <w:ind w:left="284"/>
    </w:pPr>
    <w:rPr>
      <w:rFonts w:ascii="Times New Roman" w:hAnsi="Times New Roman"/>
    </w:rPr>
  </w:style>
  <w:style w:type="paragraph" w:styleId="TOC1">
    <w:name w:val="toc 1"/>
    <w:basedOn w:val="TOCBase"/>
    <w:next w:val="Normal"/>
    <w:rsid w:val="00247CDA"/>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247CDA"/>
    <w:pPr>
      <w:spacing w:before="5040"/>
      <w:jc w:val="center"/>
    </w:pPr>
    <w:rPr>
      <w:sz w:val="48"/>
      <w:szCs w:val="72"/>
      <w:lang w:val="en-US"/>
    </w:rPr>
  </w:style>
  <w:style w:type="character" w:customStyle="1" w:styleId="TitleChar">
    <w:name w:val="Title Char"/>
    <w:basedOn w:val="DefaultParagraphFont"/>
    <w:link w:val="Title"/>
    <w:rsid w:val="00247CDA"/>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247CDA"/>
    <w:pPr>
      <w:tabs>
        <w:tab w:val="left" w:pos="3600"/>
        <w:tab w:val="left" w:pos="3958"/>
      </w:tabs>
    </w:pPr>
  </w:style>
  <w:style w:type="paragraph" w:customStyle="1" w:styleId="Note">
    <w:name w:val="Note"/>
    <w:basedOn w:val="BodyText"/>
    <w:rsid w:val="00247CDA"/>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247CDA"/>
    <w:pPr>
      <w:framePr w:wrap="auto" w:hAnchor="text" w:y="6049"/>
    </w:pPr>
    <w:rPr>
      <w:color w:val="000000"/>
      <w:sz w:val="40"/>
    </w:rPr>
  </w:style>
  <w:style w:type="paragraph" w:customStyle="1" w:styleId="TOCTitle">
    <w:name w:val="TOCTitle"/>
    <w:basedOn w:val="Heading1"/>
    <w:rsid w:val="00247CDA"/>
    <w:pPr>
      <w:spacing w:after="240"/>
      <w:jc w:val="center"/>
      <w:outlineLvl w:val="9"/>
    </w:pPr>
    <w:rPr>
      <w:caps/>
    </w:rPr>
  </w:style>
  <w:style w:type="paragraph" w:customStyle="1" w:styleId="Version">
    <w:name w:val="Version"/>
    <w:rsid w:val="00247CDA"/>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247CDA"/>
    <w:pPr>
      <w:keepNext w:val="0"/>
      <w:tabs>
        <w:tab w:val="right" w:pos="4176"/>
      </w:tabs>
      <w:ind w:left="198" w:hanging="198"/>
    </w:pPr>
    <w:rPr>
      <w:rFonts w:ascii="Garamond" w:hAnsi="Garamond"/>
    </w:rPr>
  </w:style>
  <w:style w:type="paragraph" w:styleId="IndexHeading">
    <w:name w:val="index heading"/>
    <w:basedOn w:val="Normal"/>
    <w:next w:val="Index1"/>
    <w:semiHidden/>
    <w:rsid w:val="00247CDA"/>
    <w:pPr>
      <w:spacing w:before="120" w:after="120"/>
    </w:pPr>
    <w:rPr>
      <w:rFonts w:ascii="Arial" w:hAnsi="Arial"/>
      <w:b/>
      <w:color w:val="918585"/>
      <w:sz w:val="24"/>
    </w:rPr>
  </w:style>
  <w:style w:type="paragraph" w:styleId="Header">
    <w:name w:val="header"/>
    <w:basedOn w:val="Normal"/>
    <w:link w:val="HeaderChar"/>
    <w:rsid w:val="00247CDA"/>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247CDA"/>
    <w:rPr>
      <w:rFonts w:ascii="Times New Roman" w:eastAsia="Times New Roman" w:hAnsi="Times New Roman" w:cs="Times New Roman"/>
      <w:sz w:val="16"/>
      <w:szCs w:val="20"/>
      <w:lang w:val="en-GB" w:eastAsia="en-US"/>
    </w:rPr>
  </w:style>
  <w:style w:type="paragraph" w:customStyle="1" w:styleId="Chapter">
    <w:name w:val="Chapter"/>
    <w:basedOn w:val="Normal"/>
    <w:rsid w:val="00247CDA"/>
    <w:pPr>
      <w:spacing w:before="240"/>
    </w:pPr>
    <w:rPr>
      <w:rFonts w:ascii="Times New Roman" w:hAnsi="Times New Roman"/>
      <w:smallCaps/>
      <w:spacing w:val="80"/>
      <w:sz w:val="28"/>
    </w:rPr>
  </w:style>
  <w:style w:type="paragraph" w:customStyle="1" w:styleId="InChapter">
    <w:name w:val="InChapter"/>
    <w:basedOn w:val="Heading3"/>
    <w:rsid w:val="00247CDA"/>
    <w:pPr>
      <w:spacing w:after="240"/>
      <w:outlineLvl w:val="9"/>
    </w:pPr>
    <w:rPr>
      <w:noProof/>
    </w:rPr>
  </w:style>
  <w:style w:type="paragraph" w:styleId="Index2">
    <w:name w:val="index 2"/>
    <w:basedOn w:val="Normal"/>
    <w:next w:val="Normal"/>
    <w:semiHidden/>
    <w:rsid w:val="00247CDA"/>
    <w:pPr>
      <w:tabs>
        <w:tab w:val="right" w:pos="4176"/>
      </w:tabs>
      <w:ind w:left="568" w:hanging="284"/>
    </w:pPr>
    <w:rPr>
      <w:rFonts w:ascii="Garamond" w:hAnsi="Garamond"/>
    </w:rPr>
  </w:style>
  <w:style w:type="paragraph" w:customStyle="1" w:styleId="Byline">
    <w:name w:val="Byline"/>
    <w:rsid w:val="00247CDA"/>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247CDA"/>
    <w:pPr>
      <w:tabs>
        <w:tab w:val="clear" w:pos="3600"/>
        <w:tab w:val="clear" w:pos="3958"/>
      </w:tabs>
      <w:jc w:val="right"/>
    </w:pPr>
  </w:style>
  <w:style w:type="character" w:styleId="Emphasis">
    <w:name w:val="Emphasis"/>
    <w:basedOn w:val="DefaultParagraphFont"/>
    <w:qFormat/>
    <w:rsid w:val="00247CDA"/>
    <w:rPr>
      <w:i/>
    </w:rPr>
  </w:style>
  <w:style w:type="paragraph" w:styleId="Caption">
    <w:name w:val="caption"/>
    <w:basedOn w:val="BodyText"/>
    <w:next w:val="Normal"/>
    <w:qFormat/>
    <w:rsid w:val="00247CDA"/>
    <w:pPr>
      <w:framePr w:w="2268" w:hSpace="181" w:vSpace="181" w:wrap="around" w:vAnchor="text" w:hAnchor="page" w:x="1135" w:y="285" w:anchorLock="1"/>
    </w:pPr>
    <w:rPr>
      <w:i/>
    </w:rPr>
  </w:style>
  <w:style w:type="paragraph" w:customStyle="1" w:styleId="MiniTOCTitle">
    <w:name w:val="MiniTOCTitle"/>
    <w:basedOn w:val="Heading4"/>
    <w:rsid w:val="00247CDA"/>
    <w:pPr>
      <w:spacing w:before="240"/>
      <w:outlineLvl w:val="9"/>
    </w:pPr>
    <w:rPr>
      <w:noProof/>
      <w:sz w:val="24"/>
    </w:rPr>
  </w:style>
  <w:style w:type="paragraph" w:customStyle="1" w:styleId="MiniTOCItem">
    <w:name w:val="MiniTOCItem"/>
    <w:basedOn w:val="ListBullet"/>
    <w:rsid w:val="00247CDA"/>
    <w:pPr>
      <w:numPr>
        <w:numId w:val="0"/>
      </w:numPr>
      <w:tabs>
        <w:tab w:val="right" w:leader="dot" w:pos="6521"/>
      </w:tabs>
      <w:spacing w:before="0" w:after="0"/>
    </w:pPr>
  </w:style>
  <w:style w:type="paragraph" w:customStyle="1" w:styleId="TOFTitle">
    <w:name w:val="TOFTitle"/>
    <w:basedOn w:val="TOCTitle"/>
    <w:rsid w:val="00247CDA"/>
  </w:style>
  <w:style w:type="paragraph" w:styleId="TableofFigures">
    <w:name w:val="table of figures"/>
    <w:basedOn w:val="Normal"/>
    <w:next w:val="Normal"/>
    <w:semiHidden/>
    <w:rsid w:val="00247CDA"/>
    <w:pPr>
      <w:tabs>
        <w:tab w:val="right" w:leader="dot" w:pos="9072"/>
      </w:tabs>
      <w:ind w:left="970" w:hanging="403"/>
    </w:pPr>
    <w:rPr>
      <w:rFonts w:ascii="Times New Roman" w:hAnsi="Times New Roman"/>
      <w:b/>
    </w:rPr>
  </w:style>
  <w:style w:type="paragraph" w:styleId="ListNumber">
    <w:name w:val="List Number"/>
    <w:basedOn w:val="List"/>
    <w:rsid w:val="00247CDA"/>
    <w:pPr>
      <w:numPr>
        <w:numId w:val="11"/>
      </w:numPr>
    </w:pPr>
  </w:style>
  <w:style w:type="character" w:customStyle="1" w:styleId="WingdingSymbols">
    <w:name w:val="Wingding Symbols"/>
    <w:rsid w:val="00247CDA"/>
    <w:rPr>
      <w:rFonts w:ascii="Wingdings" w:hAnsi="Wingdings"/>
    </w:rPr>
  </w:style>
  <w:style w:type="paragraph" w:customStyle="1" w:styleId="TableHeading">
    <w:name w:val="Table Heading"/>
    <w:basedOn w:val="HeadingBase"/>
    <w:rsid w:val="00247CDA"/>
    <w:pPr>
      <w:keepLines/>
      <w:pBdr>
        <w:bottom w:val="single" w:sz="6" w:space="1" w:color="918585"/>
      </w:pBdr>
      <w:spacing w:before="240"/>
    </w:pPr>
  </w:style>
  <w:style w:type="character" w:customStyle="1" w:styleId="HotSpot">
    <w:name w:val="HotSpot"/>
    <w:rsid w:val="00247CDA"/>
    <w:rPr>
      <w:color w:val="0033CC"/>
      <w:u w:val="none"/>
    </w:rPr>
  </w:style>
  <w:style w:type="paragraph" w:customStyle="1" w:styleId="BodyTextRight">
    <w:name w:val="Body Text Right"/>
    <w:basedOn w:val="BodyText"/>
    <w:rsid w:val="00247CDA"/>
    <w:pPr>
      <w:spacing w:before="0" w:after="0"/>
      <w:jc w:val="right"/>
    </w:pPr>
  </w:style>
  <w:style w:type="paragraph" w:styleId="Index3">
    <w:name w:val="index 3"/>
    <w:basedOn w:val="ListNumber2"/>
    <w:next w:val="Normal"/>
    <w:semiHidden/>
    <w:rsid w:val="00247CDA"/>
    <w:pPr>
      <w:numPr>
        <w:numId w:val="0"/>
      </w:numPr>
      <w:tabs>
        <w:tab w:val="right" w:leader="dot" w:pos="4176"/>
      </w:tabs>
    </w:pPr>
  </w:style>
  <w:style w:type="paragraph" w:styleId="ListNumber2">
    <w:name w:val="List Number 2"/>
    <w:basedOn w:val="List2"/>
    <w:rsid w:val="00247CDA"/>
    <w:pPr>
      <w:numPr>
        <w:numId w:val="10"/>
      </w:numPr>
      <w:tabs>
        <w:tab w:val="clear" w:pos="1060"/>
      </w:tabs>
    </w:pPr>
  </w:style>
  <w:style w:type="paragraph" w:customStyle="1" w:styleId="MarginNote">
    <w:name w:val="Margin Note"/>
    <w:basedOn w:val="BodyText"/>
    <w:rsid w:val="00247CDA"/>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247CDA"/>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247CDA"/>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247CDA"/>
    <w:rPr>
      <w:sz w:val="32"/>
    </w:rPr>
  </w:style>
  <w:style w:type="paragraph" w:customStyle="1" w:styleId="HeadingProcedure">
    <w:name w:val="Heading Procedure"/>
    <w:basedOn w:val="HeadingBase"/>
    <w:next w:val="Normal"/>
    <w:rsid w:val="00247CDA"/>
    <w:pPr>
      <w:tabs>
        <w:tab w:val="left" w:pos="0"/>
      </w:tabs>
      <w:spacing w:before="120" w:after="60"/>
    </w:pPr>
    <w:rPr>
      <w:i/>
      <w:color w:val="918585"/>
      <w:sz w:val="22"/>
    </w:rPr>
  </w:style>
  <w:style w:type="paragraph" w:customStyle="1" w:styleId="TableBodyText">
    <w:name w:val="Table Body Text"/>
    <w:basedOn w:val="BodyText"/>
    <w:rsid w:val="00247CDA"/>
    <w:pPr>
      <w:spacing w:before="60" w:after="60"/>
    </w:pPr>
  </w:style>
  <w:style w:type="paragraph" w:styleId="ListContinue">
    <w:name w:val="List Continue"/>
    <w:basedOn w:val="List"/>
    <w:rsid w:val="00247CDA"/>
    <w:pPr>
      <w:ind w:firstLine="0"/>
    </w:pPr>
  </w:style>
  <w:style w:type="paragraph" w:customStyle="1" w:styleId="ListNote">
    <w:name w:val="List Note"/>
    <w:basedOn w:val="List"/>
    <w:rsid w:val="00247CDA"/>
    <w:pPr>
      <w:pBdr>
        <w:top w:val="single" w:sz="6" w:space="2" w:color="918585"/>
        <w:bottom w:val="single" w:sz="6" w:space="2" w:color="918585"/>
      </w:pBdr>
      <w:tabs>
        <w:tab w:val="left" w:pos="1021"/>
      </w:tabs>
      <w:ind w:firstLine="0"/>
    </w:pPr>
  </w:style>
  <w:style w:type="paragraph" w:customStyle="1" w:styleId="Warning">
    <w:name w:val="Warning"/>
    <w:basedOn w:val="BodyText"/>
    <w:rsid w:val="00247CDA"/>
    <w:pPr>
      <w:shd w:val="clear" w:color="auto" w:fill="D9D9D9"/>
      <w:tabs>
        <w:tab w:val="left" w:pos="992"/>
      </w:tabs>
      <w:ind w:left="119" w:right="119"/>
    </w:pPr>
    <w:rPr>
      <w:sz w:val="20"/>
    </w:rPr>
  </w:style>
  <w:style w:type="paragraph" w:customStyle="1" w:styleId="MarginIcons">
    <w:name w:val="Margin Icons"/>
    <w:basedOn w:val="BodyText"/>
    <w:rsid w:val="00247CDA"/>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247CDA"/>
    <w:rPr>
      <w:rFonts w:ascii="Courier New" w:hAnsi="Courier New"/>
    </w:rPr>
  </w:style>
  <w:style w:type="paragraph" w:customStyle="1" w:styleId="NoteBullet">
    <w:name w:val="Note Bullet"/>
    <w:basedOn w:val="Note"/>
    <w:rsid w:val="00247CDA"/>
    <w:pPr>
      <w:tabs>
        <w:tab w:val="clear" w:pos="680"/>
      </w:tabs>
      <w:spacing w:before="60" w:after="60"/>
    </w:pPr>
  </w:style>
  <w:style w:type="paragraph" w:customStyle="1" w:styleId="SubHeading2">
    <w:name w:val="SubHeading2"/>
    <w:basedOn w:val="HeadingBase"/>
    <w:rsid w:val="00247CDA"/>
    <w:pPr>
      <w:spacing w:before="240" w:after="60"/>
    </w:pPr>
    <w:rPr>
      <w:sz w:val="20"/>
    </w:rPr>
  </w:style>
  <w:style w:type="paragraph" w:customStyle="1" w:styleId="SubHeading1">
    <w:name w:val="SubHeading1"/>
    <w:basedOn w:val="HeadingBase"/>
    <w:rsid w:val="00247CDA"/>
    <w:pPr>
      <w:spacing w:before="240" w:after="60"/>
    </w:pPr>
    <w:rPr>
      <w:color w:val="918585"/>
      <w:sz w:val="22"/>
    </w:rPr>
  </w:style>
  <w:style w:type="paragraph" w:customStyle="1" w:styleId="SideHeading">
    <w:name w:val="Side Heading"/>
    <w:basedOn w:val="HeadingBase"/>
    <w:rsid w:val="00247CDA"/>
    <w:pPr>
      <w:framePr w:w="2268" w:h="567" w:hSpace="181" w:vSpace="181" w:wrap="around" w:vAnchor="text" w:hAnchor="page" w:x="1419" w:y="370" w:anchorLock="1"/>
    </w:pPr>
    <w:rPr>
      <w:sz w:val="22"/>
    </w:rPr>
  </w:style>
  <w:style w:type="paragraph" w:customStyle="1" w:styleId="TableListBullet">
    <w:name w:val="Table List Bullet"/>
    <w:basedOn w:val="ListBullet"/>
    <w:rsid w:val="00247CDA"/>
    <w:pPr>
      <w:numPr>
        <w:numId w:val="12"/>
      </w:numPr>
    </w:pPr>
  </w:style>
  <w:style w:type="paragraph" w:styleId="PlainText">
    <w:name w:val="Plain Text"/>
    <w:basedOn w:val="Normal"/>
    <w:link w:val="PlainTextChar"/>
    <w:rsid w:val="00247CDA"/>
    <w:rPr>
      <w:sz w:val="20"/>
    </w:rPr>
  </w:style>
  <w:style w:type="character" w:customStyle="1" w:styleId="PlainTextChar">
    <w:name w:val="Plain Text Char"/>
    <w:basedOn w:val="DefaultParagraphFont"/>
    <w:link w:val="PlainText"/>
    <w:rsid w:val="00247CDA"/>
    <w:rPr>
      <w:rFonts w:ascii="Courier New" w:eastAsia="Times New Roman" w:hAnsi="Courier New" w:cs="Times New Roman"/>
      <w:sz w:val="20"/>
      <w:szCs w:val="20"/>
      <w:lang w:eastAsia="en-US"/>
    </w:rPr>
  </w:style>
  <w:style w:type="character" w:customStyle="1" w:styleId="MenuOption">
    <w:name w:val="Menu Option"/>
    <w:basedOn w:val="DefaultParagraphFont"/>
    <w:rsid w:val="00247CDA"/>
    <w:rPr>
      <w:b/>
      <w:smallCaps/>
    </w:rPr>
  </w:style>
  <w:style w:type="paragraph" w:customStyle="1" w:styleId="TableListNumber">
    <w:name w:val="Table List Number"/>
    <w:basedOn w:val="ListNumber"/>
    <w:rsid w:val="00247CDA"/>
    <w:pPr>
      <w:numPr>
        <w:numId w:val="0"/>
      </w:numPr>
    </w:pPr>
  </w:style>
  <w:style w:type="paragraph" w:styleId="TOC4">
    <w:name w:val="toc 4"/>
    <w:basedOn w:val="TOCBase"/>
    <w:next w:val="Normal"/>
    <w:semiHidden/>
    <w:rsid w:val="00247CDA"/>
    <w:pPr>
      <w:tabs>
        <w:tab w:val="right" w:leader="dot" w:pos="9071"/>
      </w:tabs>
      <w:ind w:left="1701"/>
    </w:pPr>
  </w:style>
  <w:style w:type="paragraph" w:customStyle="1" w:styleId="ListAlpha">
    <w:name w:val="List Alpha"/>
    <w:basedOn w:val="List"/>
    <w:rsid w:val="00247CDA"/>
    <w:pPr>
      <w:numPr>
        <w:numId w:val="9"/>
      </w:numPr>
    </w:pPr>
  </w:style>
  <w:style w:type="paragraph" w:customStyle="1" w:styleId="ListAlpha2">
    <w:name w:val="List Alpha 2"/>
    <w:basedOn w:val="List2"/>
    <w:rsid w:val="00247CDA"/>
    <w:pPr>
      <w:numPr>
        <w:numId w:val="8"/>
      </w:numPr>
    </w:pPr>
  </w:style>
  <w:style w:type="paragraph" w:styleId="List3">
    <w:name w:val="List 3"/>
    <w:basedOn w:val="BodyText"/>
    <w:rsid w:val="00247CDA"/>
    <w:pPr>
      <w:tabs>
        <w:tab w:val="left" w:pos="1021"/>
      </w:tabs>
      <w:spacing w:before="60" w:after="60"/>
      <w:ind w:left="1020" w:hanging="340"/>
    </w:pPr>
  </w:style>
  <w:style w:type="paragraph" w:styleId="List4">
    <w:name w:val="List 4"/>
    <w:basedOn w:val="BodyText"/>
    <w:rsid w:val="00247CDA"/>
    <w:pPr>
      <w:tabs>
        <w:tab w:val="left" w:pos="1361"/>
      </w:tabs>
      <w:spacing w:before="60" w:after="60"/>
      <w:ind w:left="1361" w:hanging="340"/>
    </w:pPr>
  </w:style>
  <w:style w:type="paragraph" w:styleId="List5">
    <w:name w:val="List 5"/>
    <w:basedOn w:val="BodyText"/>
    <w:rsid w:val="00247CDA"/>
    <w:pPr>
      <w:tabs>
        <w:tab w:val="left" w:pos="1701"/>
      </w:tabs>
      <w:spacing w:before="60" w:after="60"/>
      <w:ind w:left="1701" w:hanging="340"/>
    </w:pPr>
  </w:style>
  <w:style w:type="paragraph" w:styleId="ListBullet3">
    <w:name w:val="List Bullet 3"/>
    <w:basedOn w:val="List3"/>
    <w:rsid w:val="00247CDA"/>
    <w:pPr>
      <w:numPr>
        <w:numId w:val="15"/>
      </w:numPr>
      <w:tabs>
        <w:tab w:val="clear" w:pos="1021"/>
      </w:tabs>
      <w:ind w:left="1037" w:hanging="357"/>
    </w:pPr>
  </w:style>
  <w:style w:type="paragraph" w:styleId="ListBullet4">
    <w:name w:val="List Bullet 4"/>
    <w:basedOn w:val="List4"/>
    <w:rsid w:val="00247CDA"/>
    <w:pPr>
      <w:numPr>
        <w:numId w:val="3"/>
      </w:numPr>
    </w:pPr>
  </w:style>
  <w:style w:type="paragraph" w:styleId="ListBullet5">
    <w:name w:val="List Bullet 5"/>
    <w:basedOn w:val="List5"/>
    <w:rsid w:val="00247CDA"/>
    <w:pPr>
      <w:numPr>
        <w:numId w:val="4"/>
      </w:numPr>
    </w:pPr>
  </w:style>
  <w:style w:type="paragraph" w:styleId="ListContinue2">
    <w:name w:val="List Continue 2"/>
    <w:basedOn w:val="List2"/>
    <w:rsid w:val="00247CDA"/>
    <w:pPr>
      <w:ind w:firstLine="0"/>
    </w:pPr>
  </w:style>
  <w:style w:type="paragraph" w:styleId="ListContinue3">
    <w:name w:val="List Continue 3"/>
    <w:basedOn w:val="List3"/>
    <w:rsid w:val="00247CDA"/>
    <w:pPr>
      <w:ind w:left="1021" w:firstLine="0"/>
    </w:pPr>
  </w:style>
  <w:style w:type="paragraph" w:styleId="ListContinue4">
    <w:name w:val="List Continue 4"/>
    <w:basedOn w:val="List4"/>
    <w:rsid w:val="00247CDA"/>
    <w:pPr>
      <w:ind w:firstLine="0"/>
    </w:pPr>
  </w:style>
  <w:style w:type="paragraph" w:styleId="ListContinue5">
    <w:name w:val="List Continue 5"/>
    <w:basedOn w:val="List5"/>
    <w:rsid w:val="00247CDA"/>
    <w:pPr>
      <w:ind w:firstLine="0"/>
    </w:pPr>
  </w:style>
  <w:style w:type="paragraph" w:styleId="ListNumber3">
    <w:name w:val="List Number 3"/>
    <w:basedOn w:val="List3"/>
    <w:rsid w:val="00247CDA"/>
    <w:pPr>
      <w:numPr>
        <w:numId w:val="5"/>
      </w:numPr>
    </w:pPr>
  </w:style>
  <w:style w:type="paragraph" w:styleId="ListNumber4">
    <w:name w:val="List Number 4"/>
    <w:basedOn w:val="List4"/>
    <w:rsid w:val="00247CDA"/>
    <w:pPr>
      <w:numPr>
        <w:numId w:val="6"/>
      </w:numPr>
    </w:pPr>
  </w:style>
  <w:style w:type="paragraph" w:styleId="ListNumber5">
    <w:name w:val="List Number 5"/>
    <w:basedOn w:val="List5"/>
    <w:rsid w:val="00247CDA"/>
    <w:pPr>
      <w:numPr>
        <w:numId w:val="7"/>
      </w:numPr>
    </w:pPr>
  </w:style>
  <w:style w:type="paragraph" w:styleId="BlockText">
    <w:name w:val="Block Text"/>
    <w:basedOn w:val="Normal"/>
    <w:rsid w:val="00247CDA"/>
    <w:pPr>
      <w:spacing w:after="120"/>
      <w:ind w:left="1440" w:right="1440"/>
    </w:pPr>
  </w:style>
  <w:style w:type="character" w:customStyle="1" w:styleId="Subscript">
    <w:name w:val="Subscript"/>
    <w:basedOn w:val="DefaultParagraphFont"/>
    <w:rsid w:val="00247CDA"/>
    <w:rPr>
      <w:sz w:val="16"/>
      <w:vertAlign w:val="subscript"/>
    </w:rPr>
  </w:style>
  <w:style w:type="character" w:customStyle="1" w:styleId="Superscript">
    <w:name w:val="Superscript"/>
    <w:basedOn w:val="DefaultParagraphFont"/>
    <w:rsid w:val="00247CDA"/>
    <w:rPr>
      <w:sz w:val="16"/>
      <w:vertAlign w:val="superscript"/>
    </w:rPr>
  </w:style>
  <w:style w:type="character" w:customStyle="1" w:styleId="Symbols">
    <w:name w:val="Symbols"/>
    <w:basedOn w:val="DefaultParagraphFont"/>
    <w:rsid w:val="00247CDA"/>
    <w:rPr>
      <w:rFonts w:ascii="Symbol" w:hAnsi="Symbol"/>
    </w:rPr>
  </w:style>
  <w:style w:type="character" w:customStyle="1" w:styleId="MenuOptions">
    <w:name w:val="Menu Options"/>
    <w:basedOn w:val="DefaultParagraphFont"/>
    <w:rsid w:val="00247CDA"/>
    <w:rPr>
      <w:rFonts w:ascii="Arial Narrow" w:hAnsi="Arial Narrow"/>
      <w:smallCaps/>
    </w:rPr>
  </w:style>
  <w:style w:type="character" w:customStyle="1" w:styleId="Buttons">
    <w:name w:val="Buttons"/>
    <w:basedOn w:val="DefaultParagraphFont"/>
    <w:rsid w:val="00247CDA"/>
    <w:rPr>
      <w:b/>
    </w:rPr>
  </w:style>
  <w:style w:type="character" w:customStyle="1" w:styleId="Underlined">
    <w:name w:val="Underlined"/>
    <w:basedOn w:val="DefaultParagraphFont"/>
    <w:rsid w:val="00247CDA"/>
    <w:rPr>
      <w:u w:val="single"/>
    </w:rPr>
  </w:style>
  <w:style w:type="paragraph" w:customStyle="1" w:styleId="TableBodyTextRight">
    <w:name w:val="Table Body Text Right"/>
    <w:basedOn w:val="TableBodyText"/>
    <w:rsid w:val="00247CDA"/>
    <w:pPr>
      <w:widowControl w:val="0"/>
      <w:autoSpaceDE w:val="0"/>
      <w:autoSpaceDN w:val="0"/>
      <w:adjustRightInd w:val="0"/>
      <w:jc w:val="right"/>
    </w:pPr>
    <w:rPr>
      <w:rFonts w:cs="Arial"/>
      <w:szCs w:val="18"/>
    </w:rPr>
  </w:style>
  <w:style w:type="paragraph" w:customStyle="1" w:styleId="CopyrightText">
    <w:name w:val="Copyright Text"/>
    <w:basedOn w:val="BodyText"/>
    <w:rsid w:val="00247CDA"/>
    <w:rPr>
      <w:sz w:val="18"/>
    </w:rPr>
  </w:style>
  <w:style w:type="paragraph" w:customStyle="1" w:styleId="BodySmallRight">
    <w:name w:val="Body Small Right"/>
    <w:basedOn w:val="BodyTextRight"/>
    <w:rsid w:val="00247CDA"/>
    <w:rPr>
      <w:sz w:val="18"/>
      <w:szCs w:val="18"/>
    </w:rPr>
  </w:style>
  <w:style w:type="paragraph" w:customStyle="1" w:styleId="MarginEdition">
    <w:name w:val="Margin Edition"/>
    <w:basedOn w:val="MarginNote"/>
    <w:rsid w:val="00247CDA"/>
    <w:pPr>
      <w:spacing w:before="0" w:after="0"/>
    </w:pPr>
    <w:rPr>
      <w:rFonts w:ascii="Times New Roman" w:hAnsi="Times New Roman"/>
      <w:color w:val="999999"/>
    </w:rPr>
  </w:style>
  <w:style w:type="paragraph" w:customStyle="1" w:styleId="Spacer">
    <w:name w:val="Spacer"/>
    <w:basedOn w:val="Normal"/>
    <w:rsid w:val="00247CDA"/>
    <w:rPr>
      <w:sz w:val="2"/>
      <w:szCs w:val="2"/>
    </w:rPr>
  </w:style>
  <w:style w:type="character" w:customStyle="1" w:styleId="Small">
    <w:name w:val="Small"/>
    <w:basedOn w:val="DefaultParagraphFont"/>
    <w:rsid w:val="00247CDA"/>
    <w:rPr>
      <w:sz w:val="16"/>
    </w:rPr>
  </w:style>
  <w:style w:type="paragraph" w:customStyle="1" w:styleId="WideTable">
    <w:name w:val="Wide Table"/>
    <w:basedOn w:val="Normal"/>
    <w:rsid w:val="00247CDA"/>
    <w:pPr>
      <w:ind w:left="-1418"/>
    </w:pPr>
    <w:rPr>
      <w:sz w:val="2"/>
      <w:szCs w:val="2"/>
    </w:rPr>
  </w:style>
  <w:style w:type="character" w:styleId="PageNumber">
    <w:name w:val="page number"/>
    <w:basedOn w:val="DefaultParagraphFont"/>
    <w:rsid w:val="00247CDA"/>
  </w:style>
  <w:style w:type="paragraph" w:styleId="Quote">
    <w:name w:val="Quote"/>
    <w:basedOn w:val="Heading1"/>
    <w:link w:val="QuoteChar"/>
    <w:qFormat/>
    <w:rsid w:val="00247CDA"/>
    <w:rPr>
      <w:b w:val="0"/>
      <w:sz w:val="72"/>
      <w:szCs w:val="72"/>
      <w:lang w:val="en-NZ"/>
    </w:rPr>
  </w:style>
  <w:style w:type="character" w:customStyle="1" w:styleId="QuoteChar">
    <w:name w:val="Quote Char"/>
    <w:basedOn w:val="DefaultParagraphFont"/>
    <w:link w:val="Quote"/>
    <w:rsid w:val="00247CDA"/>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247CDA"/>
    <w:pPr>
      <w:pageBreakBefore/>
    </w:pPr>
  </w:style>
  <w:style w:type="paragraph" w:customStyle="1" w:styleId="Border">
    <w:name w:val="Border"/>
    <w:basedOn w:val="Normal"/>
    <w:qFormat/>
    <w:rsid w:val="00247CDA"/>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247CDA"/>
    <w:rPr>
      <w:b/>
      <w:bCs/>
      <w:i/>
      <w:iCs/>
      <w:color w:val="auto"/>
    </w:rPr>
  </w:style>
  <w:style w:type="paragraph" w:styleId="IntenseQuote">
    <w:name w:val="Intense Quote"/>
    <w:basedOn w:val="Normal"/>
    <w:next w:val="Normal"/>
    <w:link w:val="IntenseQuoteChar"/>
    <w:uiPriority w:val="30"/>
    <w:qFormat/>
    <w:rsid w:val="00247CDA"/>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247CDA"/>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247CDA"/>
    <w:rPr>
      <w:smallCaps/>
      <w:color w:val="auto"/>
      <w:u w:val="single"/>
    </w:rPr>
  </w:style>
  <w:style w:type="character" w:styleId="IntenseReference">
    <w:name w:val="Intense Reference"/>
    <w:basedOn w:val="DefaultParagraphFont"/>
    <w:uiPriority w:val="32"/>
    <w:qFormat/>
    <w:rsid w:val="00247CDA"/>
    <w:rPr>
      <w:b/>
      <w:bCs/>
      <w:smallCaps/>
      <w:color w:val="auto"/>
      <w:spacing w:val="5"/>
      <w:u w:val="single"/>
    </w:rPr>
  </w:style>
  <w:style w:type="paragraph" w:customStyle="1" w:styleId="2ColumnHeading">
    <w:name w:val="2Column Heading"/>
    <w:basedOn w:val="BodyText"/>
    <w:qFormat/>
    <w:rsid w:val="00247CDA"/>
    <w:pPr>
      <w:spacing w:after="60"/>
      <w:ind w:left="-2268"/>
    </w:pPr>
    <w:rPr>
      <w:b/>
    </w:rPr>
  </w:style>
  <w:style w:type="paragraph" w:customStyle="1" w:styleId="Heading1TOC">
    <w:name w:val="Heading1 TOC"/>
    <w:basedOn w:val="Normal"/>
    <w:qFormat/>
    <w:rsid w:val="00247CDA"/>
    <w:pPr>
      <w:spacing w:before="240" w:after="120"/>
    </w:pPr>
    <w:rPr>
      <w:rFonts w:ascii="Times New Roman" w:hAnsi="Times New Roman"/>
      <w:b/>
      <w:sz w:val="32"/>
    </w:rPr>
  </w:style>
  <w:style w:type="paragraph" w:customStyle="1" w:styleId="Heading2TOC">
    <w:name w:val="Heading2 TOC"/>
    <w:basedOn w:val="Normal"/>
    <w:qFormat/>
    <w:rsid w:val="00247CDA"/>
    <w:pPr>
      <w:spacing w:before="240" w:after="60"/>
    </w:pPr>
    <w:rPr>
      <w:rFonts w:ascii="Times New Roman" w:hAnsi="Times New Roman"/>
      <w:b/>
      <w:sz w:val="28"/>
    </w:rPr>
  </w:style>
  <w:style w:type="character" w:customStyle="1" w:styleId="Underline">
    <w:name w:val="Underline"/>
    <w:basedOn w:val="DefaultParagraphFont"/>
    <w:qFormat/>
    <w:rsid w:val="00247CDA"/>
    <w:rPr>
      <w:u w:val="single"/>
    </w:rPr>
  </w:style>
  <w:style w:type="paragraph" w:styleId="BalloonText">
    <w:name w:val="Balloon Text"/>
    <w:basedOn w:val="Normal"/>
    <w:link w:val="BalloonTextChar"/>
    <w:rsid w:val="00247CDA"/>
    <w:rPr>
      <w:rFonts w:ascii="Tahoma" w:hAnsi="Tahoma" w:cs="Tahoma"/>
      <w:sz w:val="16"/>
      <w:szCs w:val="16"/>
    </w:rPr>
  </w:style>
  <w:style w:type="character" w:customStyle="1" w:styleId="BalloonTextChar">
    <w:name w:val="Balloon Text Char"/>
    <w:basedOn w:val="DefaultParagraphFont"/>
    <w:link w:val="BalloonText"/>
    <w:rsid w:val="00247CDA"/>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247CDA"/>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247CDA"/>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247CDA"/>
    <w:rPr>
      <w:b/>
      <w:color w:val="660033"/>
      <w:spacing w:val="0"/>
    </w:rPr>
  </w:style>
  <w:style w:type="paragraph" w:customStyle="1" w:styleId="Nameditemlist">
    <w:name w:val="Named item list"/>
    <w:basedOn w:val="BodyText"/>
    <w:qFormat/>
    <w:rsid w:val="00247CDA"/>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2041</Words>
  <Characters>12919</Characters>
  <Application>Microsoft Office Word</Application>
  <DocSecurity>0</DocSecurity>
  <Lines>446</Lines>
  <Paragraphs>215</Paragraphs>
  <ScaleCrop>false</ScaleCrop>
  <Company>Author-it Software Corporation Ltd.</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CPCCBC4011B Apply structural principles to commercial low rise constructions</dc:title>
  <dc:subject>Approved</dc:subject>
  <dc:creator>Construction &amp; Property Services Industry Skills Council</dc:creator>
  <cp:keywords>Release: 1</cp:keywords>
  <dc:description>Copyright © 1996-2007 Author-it Software Corporation Ltd., all rights reserved.</dc:description>
  <cp:lastModifiedBy>TPCMS</cp:lastModifiedBy>
  <cp:revision>3</cp:revision>
  <dcterms:created xsi:type="dcterms:W3CDTF">2012-10-05T17:14:00Z</dcterms:created>
  <dcterms:modified xsi:type="dcterms:W3CDTF">2012-10-05T17:14:00Z</dcterms:modified>
</cp:coreProperties>
</file>